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868B40" w14:textId="51A96AEA" w:rsidR="00296D41" w:rsidRDefault="00D2438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C07DBB2" wp14:editId="07F4B3FB">
            <wp:extent cx="2584450" cy="25844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77ED4" w14:textId="62497377" w:rsidR="00D24389" w:rsidRDefault="00D24389"/>
    <w:p w14:paraId="36DF7E2A" w14:textId="0A8027B1" w:rsidR="00D24389" w:rsidRDefault="00C92258">
      <w:pPr>
        <w:rPr>
          <w:b/>
          <w:bCs/>
          <w:color w:val="4F81BD" w:themeColor="accent1"/>
          <w:sz w:val="32"/>
          <w:szCs w:val="32"/>
        </w:rPr>
      </w:pPr>
      <w:r w:rsidRPr="00C92258">
        <w:rPr>
          <w:b/>
          <w:bCs/>
          <w:color w:val="4F81BD" w:themeColor="accent1"/>
          <w:sz w:val="32"/>
          <w:szCs w:val="32"/>
        </w:rPr>
        <w:t>OP07</w:t>
      </w:r>
      <w:r w:rsidR="00AC311F">
        <w:rPr>
          <w:b/>
          <w:bCs/>
          <w:color w:val="4F81BD" w:themeColor="accent1"/>
          <w:sz w:val="32"/>
          <w:szCs w:val="32"/>
        </w:rPr>
        <w:t>:</w:t>
      </w:r>
      <w:r w:rsidRPr="00C92258">
        <w:rPr>
          <w:b/>
          <w:bCs/>
          <w:color w:val="4F81BD" w:themeColor="accent1"/>
          <w:sz w:val="32"/>
          <w:szCs w:val="32"/>
        </w:rPr>
        <w:t xml:space="preserve"> Абсолютный и относительный риск почечных и урологических</w:t>
      </w:r>
      <w:r w:rsidR="00673869" w:rsidRPr="00673869">
        <w:rPr>
          <w:b/>
          <w:bCs/>
          <w:color w:val="4F81BD" w:themeColor="accent1"/>
          <w:sz w:val="32"/>
          <w:szCs w:val="32"/>
        </w:rPr>
        <w:t xml:space="preserve"> </w:t>
      </w:r>
      <w:r w:rsidR="00673869">
        <w:rPr>
          <w:b/>
          <w:bCs/>
          <w:color w:val="4F81BD" w:themeColor="accent1"/>
          <w:sz w:val="32"/>
          <w:szCs w:val="32"/>
        </w:rPr>
        <w:t>заболеваний</w:t>
      </w:r>
      <w:r w:rsidRPr="00C92258">
        <w:rPr>
          <w:b/>
          <w:bCs/>
          <w:color w:val="4F81BD" w:themeColor="accent1"/>
          <w:sz w:val="32"/>
          <w:szCs w:val="32"/>
        </w:rPr>
        <w:t xml:space="preserve"> у пациентов с</w:t>
      </w:r>
      <w:r>
        <w:rPr>
          <w:b/>
          <w:bCs/>
          <w:color w:val="4F81BD" w:themeColor="accent1"/>
          <w:sz w:val="32"/>
          <w:szCs w:val="32"/>
        </w:rPr>
        <w:t xml:space="preserve"> ВЗК</w:t>
      </w:r>
    </w:p>
    <w:p w14:paraId="73229C76" w14:textId="2D94F686" w:rsidR="00C92258" w:rsidRDefault="00C92258">
      <w:pPr>
        <w:rPr>
          <w:lang w:val="en-US"/>
        </w:rPr>
      </w:pPr>
      <w:r w:rsidRPr="00C92258">
        <w:rPr>
          <w:lang w:val="en-US"/>
        </w:rPr>
        <w:t>Yang, Y.;Ludviggson, J.F.;Olén, O.;Sjölander, A.;Carrero, J.J.</w:t>
      </w:r>
    </w:p>
    <w:p w14:paraId="7CF176C1" w14:textId="77777777" w:rsidR="00E47B34" w:rsidRDefault="00C92258" w:rsidP="00E47B34">
      <w:pPr>
        <w:ind w:firstLine="708"/>
      </w:pPr>
      <w:r>
        <w:t>В</w:t>
      </w:r>
      <w:r w:rsidRPr="00C92258">
        <w:t>ключ</w:t>
      </w:r>
      <w:r>
        <w:t>ено</w:t>
      </w:r>
      <w:r w:rsidRPr="00C92258">
        <w:t xml:space="preserve"> 1 682 795 участников в возрасте 11 лет и старше, у которых не было ВЗК или хронической болезни почек (ХБП) и у которых была измерена СКФ в течение 2006-2018 гг. </w:t>
      </w:r>
      <w:r w:rsidR="00E47B34">
        <w:t>П</w:t>
      </w:r>
      <w:r w:rsidRPr="00C92258">
        <w:t xml:space="preserve">роанализировали связь между развитием ВЗК  и риском постановки диагноза ХБП, острого повреждения почек (ОПП), </w:t>
      </w:r>
      <w:r w:rsidR="00E47B34">
        <w:t>мочекаменной болезни</w:t>
      </w:r>
      <w:r w:rsidRPr="00C92258">
        <w:t xml:space="preserve"> или вторичного амилоидоза, а также снижением СКФ не менее чем на 30% от исходного уровня</w:t>
      </w:r>
      <w:r w:rsidR="00E47B34">
        <w:t xml:space="preserve"> и</w:t>
      </w:r>
      <w:r w:rsidRPr="00C92258">
        <w:t xml:space="preserve"> почечн</w:t>
      </w:r>
      <w:r w:rsidR="00E47B34">
        <w:t>ой</w:t>
      </w:r>
      <w:r w:rsidRPr="00C92258">
        <w:t xml:space="preserve"> недостаточность</w:t>
      </w:r>
      <w:r w:rsidR="00E47B34">
        <w:t>ю.</w:t>
      </w:r>
    </w:p>
    <w:p w14:paraId="25FCF06F" w14:textId="77777777" w:rsidR="00E47B34" w:rsidRDefault="00C92258" w:rsidP="00E47B34">
      <w:pPr>
        <w:ind w:firstLine="708"/>
      </w:pPr>
      <w:r w:rsidRPr="00C92258">
        <w:t xml:space="preserve">В среднем через 9 лет у 10 117 участников </w:t>
      </w:r>
      <w:r w:rsidR="00E47B34">
        <w:t>р</w:t>
      </w:r>
      <w:r w:rsidRPr="00C92258">
        <w:t>азвилось ВЗК</w:t>
      </w:r>
      <w:r w:rsidR="00E47B34">
        <w:t xml:space="preserve">, </w:t>
      </w:r>
      <w:r w:rsidRPr="00C92258">
        <w:t xml:space="preserve">средний возраст составлял 45 лет. </w:t>
      </w:r>
      <w:r w:rsidR="00E47B34">
        <w:t>Р</w:t>
      </w:r>
      <w:r w:rsidRPr="00C92258">
        <w:t>азвитие ВЗК связано с более высокими относительными рисками: ОР для риска постановки диагноза ХБП составил 1,24 (1,10-1,40), 1,11 (1,00-1,24) для риска прогрессирования ХБП, и 1,25 (1,14-1,36) для этих двух событий. В течение 10 лет после постановки диагноза ВЗК 6,4% (5,8-7,0%) участников получили диагноз ХБП, но у 11,4% (10,4-12,4%) было клинически значимое снижение СКФ.</w:t>
      </w:r>
    </w:p>
    <w:p w14:paraId="1865DDF2" w14:textId="78B3FF08" w:rsidR="00C92258" w:rsidRPr="00C92258" w:rsidRDefault="00C92258" w:rsidP="00E47B34">
      <w:pPr>
        <w:ind w:firstLine="708"/>
      </w:pPr>
      <w:r w:rsidRPr="00C92258">
        <w:t xml:space="preserve"> Риск ОПП (</w:t>
      </w:r>
      <w:r w:rsidRPr="00C92258">
        <w:rPr>
          <w:lang w:val="en-US"/>
        </w:rPr>
        <w:t>HR</w:t>
      </w:r>
      <w:r w:rsidRPr="00C92258">
        <w:t xml:space="preserve"> 1,97</w:t>
      </w:r>
      <w:r w:rsidR="00E47B34">
        <w:t>)</w:t>
      </w:r>
      <w:r w:rsidRPr="00C92258">
        <w:t xml:space="preserve">; </w:t>
      </w:r>
      <w:r w:rsidR="00E47B34">
        <w:t xml:space="preserve">мочекаменной болезни - </w:t>
      </w:r>
      <w:r w:rsidRPr="00C92258">
        <w:t xml:space="preserve"> (</w:t>
      </w:r>
      <w:r w:rsidRPr="00C92258">
        <w:rPr>
          <w:lang w:val="en-US"/>
        </w:rPr>
        <w:t>HR</w:t>
      </w:r>
      <w:r w:rsidRPr="00C92258">
        <w:t xml:space="preserve"> 1,69</w:t>
      </w:r>
      <w:r w:rsidR="00E47B34">
        <w:t>)</w:t>
      </w:r>
      <w:r w:rsidRPr="00C92258">
        <w:t xml:space="preserve"> и вторичного амилоидоза (</w:t>
      </w:r>
      <w:r w:rsidRPr="00C92258">
        <w:rPr>
          <w:lang w:val="en-US"/>
        </w:rPr>
        <w:t>HR</w:t>
      </w:r>
      <w:r w:rsidRPr="00C92258">
        <w:t xml:space="preserve"> 2,77</w:t>
      </w:r>
      <w:r w:rsidR="00E47B34">
        <w:t>)</w:t>
      </w:r>
      <w:r w:rsidRPr="00C92258">
        <w:t xml:space="preserve"> также были выше у лиц с ВЗК по сравнению с </w:t>
      </w:r>
      <w:r w:rsidR="00E47B34">
        <w:t>таковыми</w:t>
      </w:r>
      <w:r w:rsidRPr="00C92258">
        <w:t xml:space="preserve"> без ВЗК. В целом у пациентов с болезнью Крона абсолютный и относительный </w:t>
      </w:r>
      <w:r w:rsidR="00E47B34" w:rsidRPr="00C92258">
        <w:t xml:space="preserve">риск </w:t>
      </w:r>
      <w:r w:rsidRPr="00C92258">
        <w:t>почечн</w:t>
      </w:r>
      <w:r w:rsidR="00E47B34">
        <w:t>ых заболеваний</w:t>
      </w:r>
      <w:r w:rsidRPr="00C92258">
        <w:t xml:space="preserve"> был выше, чем у пациентов с язвенным колитом.</w:t>
      </w:r>
    </w:p>
    <w:p w14:paraId="5911E419" w14:textId="6B3642D5" w:rsidR="00C92258" w:rsidRDefault="00C92258" w:rsidP="00C92258">
      <w:r w:rsidRPr="00C92258">
        <w:t>ЗАКЛЮЧЕНИ</w:t>
      </w:r>
      <w:r w:rsidR="00E47B34">
        <w:t xml:space="preserve">Е: </w:t>
      </w:r>
      <w:r w:rsidRPr="00C92258">
        <w:t xml:space="preserve">У каждого десятого </w:t>
      </w:r>
      <w:r w:rsidR="00E47B34">
        <w:t>пациента</w:t>
      </w:r>
      <w:r w:rsidRPr="00C92258">
        <w:t xml:space="preserve"> с ВЗК развивается хроническое заболевание почек в течение 10 лет после постановки диагноза, при этом многие из этих событий не</w:t>
      </w:r>
      <w:r w:rsidR="00E47B34">
        <w:t xml:space="preserve"> </w:t>
      </w:r>
      <w:r w:rsidRPr="00C92258">
        <w:t xml:space="preserve">идентифицируются с помощью </w:t>
      </w:r>
      <w:r w:rsidR="00E47B34">
        <w:t xml:space="preserve">обычных </w:t>
      </w:r>
      <w:r w:rsidRPr="00C92258">
        <w:t xml:space="preserve">диагностических </w:t>
      </w:r>
      <w:r w:rsidR="00E47B34">
        <w:t>тестов</w:t>
      </w:r>
      <w:r w:rsidRPr="00C92258">
        <w:t>. Это, наряду с более высоким риском ОПП</w:t>
      </w:r>
      <w:r w:rsidR="00824D99">
        <w:t>,</w:t>
      </w:r>
      <w:r w:rsidRPr="00C92258">
        <w:t xml:space="preserve"> подчеркивает необходимость мониторинга функции почек и </w:t>
      </w:r>
      <w:r w:rsidR="00824D99">
        <w:t xml:space="preserve">своевременного </w:t>
      </w:r>
      <w:r w:rsidRPr="00C92258">
        <w:t>направления к нефрологу/урологу.</w:t>
      </w:r>
    </w:p>
    <w:p w14:paraId="19F9C264" w14:textId="77777777" w:rsidR="0027258D" w:rsidRDefault="0027258D" w:rsidP="00C92258"/>
    <w:p w14:paraId="19E61A39" w14:textId="5DE32FFF" w:rsidR="0027258D" w:rsidRPr="00440E46" w:rsidRDefault="002574C9" w:rsidP="00C92258">
      <w:pPr>
        <w:rPr>
          <w:b/>
          <w:bCs/>
          <w:color w:val="4F81BD" w:themeColor="accent1"/>
          <w:sz w:val="32"/>
          <w:szCs w:val="32"/>
        </w:rPr>
      </w:pPr>
      <w:r w:rsidRPr="00A90544">
        <w:rPr>
          <w:b/>
          <w:bCs/>
          <w:color w:val="4F81BD" w:themeColor="accent1"/>
          <w:sz w:val="32"/>
          <w:szCs w:val="32"/>
        </w:rPr>
        <w:t>DOP59 Какова взаимосвязь между усталостью, болью и императивными позывами у пациентов с ВЗК? Результаты опроса IBD-BOOST среди 8486 участников</w:t>
      </w:r>
      <w:r w:rsidR="008B7EA0">
        <w:rPr>
          <w:b/>
          <w:bCs/>
          <w:color w:val="4F81BD" w:themeColor="accent1"/>
          <w:sz w:val="32"/>
          <w:szCs w:val="32"/>
        </w:rPr>
        <w:t xml:space="preserve"> </w:t>
      </w:r>
      <w:r w:rsidR="008B7EA0" w:rsidRPr="00440E46">
        <w:rPr>
          <w:b/>
          <w:bCs/>
          <w:color w:val="4F81BD" w:themeColor="accent1"/>
          <w:sz w:val="32"/>
          <w:szCs w:val="32"/>
        </w:rPr>
        <w:t>(</w:t>
      </w:r>
      <w:r w:rsidR="008B7EA0">
        <w:rPr>
          <w:b/>
          <w:bCs/>
          <w:color w:val="4F81BD" w:themeColor="accent1"/>
          <w:sz w:val="32"/>
          <w:szCs w:val="32"/>
          <w:lang w:val="en-US"/>
        </w:rPr>
        <w:t>UK</w:t>
      </w:r>
      <w:r w:rsidR="008B7EA0" w:rsidRPr="00440E46">
        <w:rPr>
          <w:b/>
          <w:bCs/>
          <w:color w:val="4F81BD" w:themeColor="accent1"/>
          <w:sz w:val="32"/>
          <w:szCs w:val="32"/>
        </w:rPr>
        <w:t>)</w:t>
      </w:r>
    </w:p>
    <w:p w14:paraId="777A0A86" w14:textId="34041BBD" w:rsidR="007B6F3A" w:rsidRPr="00440E46" w:rsidRDefault="00A90544" w:rsidP="007B6F3A">
      <w:pPr>
        <w:rPr>
          <w:sz w:val="20"/>
          <w:szCs w:val="20"/>
        </w:rPr>
      </w:pPr>
      <w:r w:rsidRPr="00E756CD">
        <w:rPr>
          <w:sz w:val="20"/>
          <w:szCs w:val="20"/>
          <w:lang w:val="en-US"/>
        </w:rPr>
        <w:t>Hart</w:t>
      </w:r>
      <w:r w:rsidRPr="00440E46">
        <w:rPr>
          <w:sz w:val="20"/>
          <w:szCs w:val="20"/>
        </w:rPr>
        <w:t xml:space="preserve">, </w:t>
      </w:r>
      <w:r w:rsidRPr="00E756CD">
        <w:rPr>
          <w:sz w:val="20"/>
          <w:szCs w:val="20"/>
          <w:lang w:val="en-US"/>
        </w:rPr>
        <w:t>A</w:t>
      </w:r>
      <w:r w:rsidRPr="00440E46">
        <w:rPr>
          <w:sz w:val="20"/>
          <w:szCs w:val="20"/>
        </w:rPr>
        <w:t xml:space="preserve">.; </w:t>
      </w:r>
      <w:r w:rsidRPr="00E756CD">
        <w:rPr>
          <w:sz w:val="20"/>
          <w:szCs w:val="20"/>
          <w:lang w:val="en-US"/>
        </w:rPr>
        <w:t>Miller</w:t>
      </w:r>
      <w:r w:rsidRPr="00440E46">
        <w:rPr>
          <w:sz w:val="20"/>
          <w:szCs w:val="20"/>
        </w:rPr>
        <w:t xml:space="preserve">, </w:t>
      </w:r>
      <w:r w:rsidRPr="00E756CD">
        <w:rPr>
          <w:sz w:val="20"/>
          <w:szCs w:val="20"/>
          <w:lang w:val="en-US"/>
        </w:rPr>
        <w:t>L</w:t>
      </w:r>
      <w:r w:rsidRPr="00440E46">
        <w:rPr>
          <w:sz w:val="20"/>
          <w:szCs w:val="20"/>
        </w:rPr>
        <w:t xml:space="preserve">.; </w:t>
      </w:r>
      <w:r w:rsidRPr="00E756CD">
        <w:rPr>
          <w:sz w:val="20"/>
          <w:szCs w:val="20"/>
          <w:lang w:val="en-US"/>
        </w:rPr>
        <w:t>Hamborg</w:t>
      </w:r>
      <w:r w:rsidRPr="00440E46">
        <w:rPr>
          <w:sz w:val="20"/>
          <w:szCs w:val="20"/>
        </w:rPr>
        <w:t xml:space="preserve">, </w:t>
      </w:r>
      <w:r w:rsidRPr="00E756CD">
        <w:rPr>
          <w:sz w:val="20"/>
          <w:szCs w:val="20"/>
          <w:lang w:val="en-US"/>
        </w:rPr>
        <w:t>T</w:t>
      </w:r>
      <w:r w:rsidRPr="00440E46">
        <w:rPr>
          <w:sz w:val="20"/>
          <w:szCs w:val="20"/>
        </w:rPr>
        <w:t xml:space="preserve">.; </w:t>
      </w:r>
      <w:r w:rsidRPr="00E756CD">
        <w:rPr>
          <w:sz w:val="20"/>
          <w:szCs w:val="20"/>
          <w:lang w:val="en-US"/>
        </w:rPr>
        <w:t>Stagg</w:t>
      </w:r>
      <w:r w:rsidRPr="00440E46">
        <w:rPr>
          <w:sz w:val="20"/>
          <w:szCs w:val="20"/>
        </w:rPr>
        <w:t xml:space="preserve">, </w:t>
      </w:r>
      <w:r w:rsidRPr="00E756CD">
        <w:rPr>
          <w:sz w:val="20"/>
          <w:szCs w:val="20"/>
          <w:lang w:val="en-US"/>
        </w:rPr>
        <w:t>I</w:t>
      </w:r>
      <w:r w:rsidRPr="00440E46">
        <w:rPr>
          <w:sz w:val="20"/>
          <w:szCs w:val="20"/>
        </w:rPr>
        <w:t xml:space="preserve">.; </w:t>
      </w:r>
      <w:r w:rsidRPr="00E756CD">
        <w:rPr>
          <w:sz w:val="20"/>
          <w:szCs w:val="20"/>
          <w:lang w:val="en-US"/>
        </w:rPr>
        <w:t>McGuinness</w:t>
      </w:r>
      <w:r w:rsidRPr="00440E46">
        <w:rPr>
          <w:sz w:val="20"/>
          <w:szCs w:val="20"/>
        </w:rPr>
        <w:t xml:space="preserve">, </w:t>
      </w:r>
      <w:r w:rsidRPr="00E756CD">
        <w:rPr>
          <w:sz w:val="20"/>
          <w:szCs w:val="20"/>
          <w:lang w:val="en-US"/>
        </w:rPr>
        <w:t>S</w:t>
      </w:r>
      <w:r w:rsidRPr="00440E46">
        <w:rPr>
          <w:sz w:val="20"/>
          <w:szCs w:val="20"/>
        </w:rPr>
        <w:t xml:space="preserve">.; </w:t>
      </w:r>
      <w:r w:rsidRPr="00E756CD">
        <w:rPr>
          <w:sz w:val="20"/>
          <w:szCs w:val="20"/>
          <w:lang w:val="en-US"/>
        </w:rPr>
        <w:t>Wileman</w:t>
      </w:r>
      <w:r w:rsidRPr="00440E46">
        <w:rPr>
          <w:sz w:val="20"/>
          <w:szCs w:val="20"/>
        </w:rPr>
        <w:t xml:space="preserve">, </w:t>
      </w:r>
      <w:r w:rsidRPr="00E756CD">
        <w:rPr>
          <w:sz w:val="20"/>
          <w:szCs w:val="20"/>
          <w:lang w:val="en-US"/>
        </w:rPr>
        <w:t>V</w:t>
      </w:r>
      <w:r w:rsidRPr="00440E46">
        <w:rPr>
          <w:sz w:val="20"/>
          <w:szCs w:val="20"/>
        </w:rPr>
        <w:t xml:space="preserve">. </w:t>
      </w:r>
      <w:r w:rsidRPr="00E756CD">
        <w:rPr>
          <w:sz w:val="20"/>
          <w:szCs w:val="20"/>
          <w:lang w:val="en-US"/>
        </w:rPr>
        <w:t>et</w:t>
      </w:r>
      <w:r w:rsidRPr="00440E46">
        <w:rPr>
          <w:sz w:val="20"/>
          <w:szCs w:val="20"/>
        </w:rPr>
        <w:t xml:space="preserve"> </w:t>
      </w:r>
      <w:r w:rsidRPr="00E756CD">
        <w:rPr>
          <w:sz w:val="20"/>
          <w:szCs w:val="20"/>
          <w:lang w:val="en-US"/>
        </w:rPr>
        <w:t>al</w:t>
      </w:r>
      <w:r w:rsidRPr="00440E46">
        <w:rPr>
          <w:sz w:val="20"/>
          <w:szCs w:val="20"/>
        </w:rPr>
        <w:t>.</w:t>
      </w:r>
    </w:p>
    <w:p w14:paraId="51E6C63C" w14:textId="630C8AC2" w:rsidR="00A90544" w:rsidRPr="00E756CD" w:rsidRDefault="007B6F3A" w:rsidP="004015BF">
      <w:pPr>
        <w:ind w:firstLine="708"/>
        <w:rPr>
          <w:sz w:val="24"/>
          <w:szCs w:val="24"/>
        </w:rPr>
      </w:pPr>
      <w:r w:rsidRPr="00E756CD">
        <w:rPr>
          <w:sz w:val="24"/>
          <w:szCs w:val="24"/>
        </w:rPr>
        <w:lastRenderedPageBreak/>
        <w:t>Всего было п</w:t>
      </w:r>
      <w:r w:rsidR="009E7542" w:rsidRPr="00E756CD">
        <w:rPr>
          <w:sz w:val="24"/>
          <w:szCs w:val="24"/>
        </w:rPr>
        <w:t>роанализировано</w:t>
      </w:r>
      <w:r w:rsidRPr="00E756CD">
        <w:rPr>
          <w:sz w:val="24"/>
          <w:szCs w:val="24"/>
        </w:rPr>
        <w:t xml:space="preserve"> 8486 ответов </w:t>
      </w:r>
      <w:r w:rsidR="009E7542" w:rsidRPr="00E756CD">
        <w:rPr>
          <w:sz w:val="24"/>
          <w:szCs w:val="24"/>
        </w:rPr>
        <w:t>пациентов</w:t>
      </w:r>
      <w:r w:rsidRPr="00E756CD">
        <w:rPr>
          <w:sz w:val="24"/>
          <w:szCs w:val="24"/>
        </w:rPr>
        <w:t xml:space="preserve">. 4176 сообщили о болезни Крона, 4255 имели язвенный колит или другую форму ВЗК. Мужчин 3281, женщин 4883. Средний возраст составил 51 год (от 18 до 92 лет). 2550 (30%) сообщили об усталости, 1766 (21%) </w:t>
      </w:r>
      <w:r w:rsidR="00AE2BA3" w:rsidRPr="00E756CD">
        <w:rPr>
          <w:sz w:val="24"/>
          <w:szCs w:val="24"/>
        </w:rPr>
        <w:t xml:space="preserve">- </w:t>
      </w:r>
      <w:r w:rsidRPr="00E756CD">
        <w:rPr>
          <w:sz w:val="24"/>
          <w:szCs w:val="24"/>
        </w:rPr>
        <w:t>о боли и 4565 (54%)</w:t>
      </w:r>
      <w:r w:rsidR="00AE2BA3" w:rsidRPr="00E756CD">
        <w:rPr>
          <w:sz w:val="24"/>
          <w:szCs w:val="24"/>
        </w:rPr>
        <w:t xml:space="preserve">- </w:t>
      </w:r>
      <w:r w:rsidRPr="00E756CD">
        <w:rPr>
          <w:sz w:val="24"/>
          <w:szCs w:val="24"/>
        </w:rPr>
        <w:t xml:space="preserve"> о недержании кала</w:t>
      </w:r>
      <w:r w:rsidR="00AE2BA3" w:rsidRPr="00E756CD">
        <w:rPr>
          <w:sz w:val="24"/>
          <w:szCs w:val="24"/>
        </w:rPr>
        <w:t xml:space="preserve">. </w:t>
      </w:r>
      <w:r w:rsidRPr="00E756CD">
        <w:rPr>
          <w:sz w:val="24"/>
          <w:szCs w:val="24"/>
        </w:rPr>
        <w:t xml:space="preserve">925 (10,9%) сообщили о наличии всех трех симптомов. Участники оценили тяжесть и воздействие в среднем от 3,3 до 4,8 с большим разбросом. 56% всех респондентов (не только с симптомами) «определенно» хотели </w:t>
      </w:r>
      <w:r w:rsidR="00C01519" w:rsidRPr="00E756CD">
        <w:rPr>
          <w:sz w:val="24"/>
          <w:szCs w:val="24"/>
        </w:rPr>
        <w:t xml:space="preserve">получить </w:t>
      </w:r>
      <w:r w:rsidRPr="00E756CD">
        <w:rPr>
          <w:sz w:val="24"/>
          <w:szCs w:val="24"/>
        </w:rPr>
        <w:t>помо</w:t>
      </w:r>
      <w:r w:rsidR="00C01519" w:rsidRPr="00E756CD">
        <w:rPr>
          <w:sz w:val="24"/>
          <w:szCs w:val="24"/>
        </w:rPr>
        <w:t>щь</w:t>
      </w:r>
      <w:r w:rsidRPr="00E756CD">
        <w:rPr>
          <w:sz w:val="24"/>
          <w:szCs w:val="24"/>
        </w:rPr>
        <w:t xml:space="preserve"> при усталости; 42% хотели </w:t>
      </w:r>
      <w:r w:rsidR="009A1558" w:rsidRPr="00E756CD">
        <w:rPr>
          <w:sz w:val="24"/>
          <w:szCs w:val="24"/>
        </w:rPr>
        <w:t xml:space="preserve">облегчения </w:t>
      </w:r>
      <w:r w:rsidRPr="00E756CD">
        <w:rPr>
          <w:sz w:val="24"/>
          <w:szCs w:val="24"/>
        </w:rPr>
        <w:t xml:space="preserve"> боли; 53% нуждались в помощи при недержании. 29% сообщили, что «определенно» нуждаются в помощи по всем трем симптомам.</w:t>
      </w:r>
    </w:p>
    <w:p w14:paraId="47DFC261" w14:textId="41D178D1" w:rsidR="005C618D" w:rsidRDefault="005C618D" w:rsidP="005C618D">
      <w:pPr>
        <w:rPr>
          <w:sz w:val="24"/>
          <w:szCs w:val="24"/>
        </w:rPr>
      </w:pPr>
      <w:r w:rsidRPr="00E756CD">
        <w:rPr>
          <w:sz w:val="24"/>
          <w:szCs w:val="24"/>
        </w:rPr>
        <w:t>ЗАКЛЮЧЕНИЕ. Это исследование подтверждает, что утомляемость, боль и императивные позывы являются частым</w:t>
      </w:r>
      <w:r w:rsidR="009E7542" w:rsidRPr="00E756CD">
        <w:rPr>
          <w:sz w:val="24"/>
          <w:szCs w:val="24"/>
        </w:rPr>
        <w:t>и</w:t>
      </w:r>
      <w:r w:rsidRPr="00E756CD">
        <w:rPr>
          <w:sz w:val="24"/>
          <w:szCs w:val="24"/>
        </w:rPr>
        <w:t xml:space="preserve"> явлени</w:t>
      </w:r>
      <w:r w:rsidR="009E7542" w:rsidRPr="00E756CD">
        <w:rPr>
          <w:sz w:val="24"/>
          <w:szCs w:val="24"/>
        </w:rPr>
        <w:t>ями</w:t>
      </w:r>
      <w:r w:rsidRPr="00E756CD">
        <w:rPr>
          <w:sz w:val="24"/>
          <w:szCs w:val="24"/>
        </w:rPr>
        <w:t xml:space="preserve"> при ВЗК, и впервые сообщает о</w:t>
      </w:r>
      <w:r w:rsidR="009E7542" w:rsidRPr="00E756CD">
        <w:rPr>
          <w:sz w:val="24"/>
          <w:szCs w:val="24"/>
        </w:rPr>
        <w:t>б их</w:t>
      </w:r>
      <w:r w:rsidRPr="00E756CD">
        <w:rPr>
          <w:sz w:val="24"/>
          <w:szCs w:val="24"/>
        </w:rPr>
        <w:t xml:space="preserve"> сосуществовании и неудовлетворенной потребности в помощи при этих симптомах.</w:t>
      </w:r>
    </w:p>
    <w:p w14:paraId="26C98B06" w14:textId="77777777" w:rsidR="00620210" w:rsidRDefault="00620210" w:rsidP="005C618D">
      <w:pPr>
        <w:rPr>
          <w:sz w:val="24"/>
          <w:szCs w:val="24"/>
        </w:rPr>
      </w:pPr>
    </w:p>
    <w:p w14:paraId="04D7FA11" w14:textId="77777777" w:rsidR="00044720" w:rsidRDefault="00044720" w:rsidP="005C618D">
      <w:pPr>
        <w:rPr>
          <w:sz w:val="24"/>
          <w:szCs w:val="24"/>
        </w:rPr>
      </w:pPr>
    </w:p>
    <w:p w14:paraId="206DD868" w14:textId="19EC7360" w:rsidR="00890688" w:rsidRPr="0005629E" w:rsidRDefault="00890688" w:rsidP="00044720">
      <w:pPr>
        <w:ind w:firstLine="708"/>
        <w:rPr>
          <w:b/>
          <w:bCs/>
          <w:color w:val="4F81BD" w:themeColor="accent1"/>
          <w:sz w:val="32"/>
          <w:szCs w:val="32"/>
        </w:rPr>
      </w:pPr>
      <w:r w:rsidRPr="0005629E">
        <w:rPr>
          <w:b/>
          <w:bCs/>
          <w:color w:val="4F81BD" w:themeColor="accent1"/>
          <w:sz w:val="32"/>
          <w:szCs w:val="32"/>
        </w:rPr>
        <w:t xml:space="preserve">DOP25 Использование метода контрацепции среди молодых женщин </w:t>
      </w:r>
      <w:r w:rsidR="0005629E">
        <w:rPr>
          <w:b/>
          <w:bCs/>
          <w:color w:val="4F81BD" w:themeColor="accent1"/>
          <w:sz w:val="32"/>
          <w:szCs w:val="32"/>
        </w:rPr>
        <w:t xml:space="preserve">в ВЗК </w:t>
      </w:r>
      <w:r w:rsidRPr="0005629E">
        <w:rPr>
          <w:b/>
          <w:bCs/>
          <w:color w:val="4F81BD" w:themeColor="accent1"/>
          <w:sz w:val="32"/>
          <w:szCs w:val="32"/>
        </w:rPr>
        <w:t>в С</w:t>
      </w:r>
      <w:r w:rsidR="0005629E">
        <w:rPr>
          <w:b/>
          <w:bCs/>
          <w:color w:val="4F81BD" w:themeColor="accent1"/>
          <w:sz w:val="32"/>
          <w:szCs w:val="32"/>
        </w:rPr>
        <w:t>ША.</w:t>
      </w:r>
    </w:p>
    <w:p w14:paraId="4A1F35E3" w14:textId="4428991B" w:rsidR="0005629E" w:rsidRPr="00477A2E" w:rsidRDefault="00477A2E" w:rsidP="00044720">
      <w:pPr>
        <w:ind w:firstLine="708"/>
        <w:rPr>
          <w:lang w:val="en-US"/>
        </w:rPr>
      </w:pPr>
      <w:r w:rsidRPr="00477A2E">
        <w:t>В</w:t>
      </w:r>
      <w:r w:rsidR="0005629E" w:rsidRPr="00477A2E">
        <w:rPr>
          <w:lang w:val="en-US"/>
        </w:rPr>
        <w:t>renner, E.;</w:t>
      </w:r>
      <w:r w:rsidRPr="00477A2E">
        <w:rPr>
          <w:lang w:val="en-US"/>
        </w:rPr>
        <w:t xml:space="preserve"> </w:t>
      </w:r>
      <w:r w:rsidR="0005629E" w:rsidRPr="00477A2E">
        <w:rPr>
          <w:lang w:val="en-US"/>
        </w:rPr>
        <w:t>Zhang, X.;</w:t>
      </w:r>
      <w:r w:rsidRPr="00477A2E">
        <w:rPr>
          <w:lang w:val="en-US"/>
        </w:rPr>
        <w:t xml:space="preserve"> </w:t>
      </w:r>
      <w:r w:rsidR="0005629E" w:rsidRPr="00477A2E">
        <w:rPr>
          <w:lang w:val="en-US"/>
        </w:rPr>
        <w:t>Long, M;</w:t>
      </w:r>
      <w:r w:rsidRPr="00477A2E">
        <w:rPr>
          <w:lang w:val="en-US"/>
        </w:rPr>
        <w:t xml:space="preserve"> </w:t>
      </w:r>
      <w:r w:rsidR="0005629E" w:rsidRPr="00477A2E">
        <w:rPr>
          <w:lang w:val="en-US"/>
        </w:rPr>
        <w:t>Dubinsky, M.;</w:t>
      </w:r>
      <w:r w:rsidRPr="00477A2E">
        <w:rPr>
          <w:lang w:val="en-US"/>
        </w:rPr>
        <w:t xml:space="preserve"> </w:t>
      </w:r>
      <w:r w:rsidR="0005629E" w:rsidRPr="00477A2E">
        <w:rPr>
          <w:lang w:val="en-US"/>
        </w:rPr>
        <w:t>Kappelman, M.</w:t>
      </w:r>
    </w:p>
    <w:p w14:paraId="686E1062" w14:textId="5095DDE1" w:rsidR="00620210" w:rsidRPr="00620210" w:rsidRDefault="00620210" w:rsidP="00044720">
      <w:pPr>
        <w:ind w:firstLine="708"/>
        <w:rPr>
          <w:sz w:val="24"/>
          <w:szCs w:val="24"/>
        </w:rPr>
      </w:pPr>
      <w:r w:rsidRPr="00620210">
        <w:rPr>
          <w:sz w:val="24"/>
          <w:szCs w:val="24"/>
        </w:rPr>
        <w:t>ВЗ</w:t>
      </w:r>
      <w:r w:rsidR="00EC454B">
        <w:rPr>
          <w:sz w:val="24"/>
          <w:szCs w:val="24"/>
        </w:rPr>
        <w:t>К</w:t>
      </w:r>
      <w:r w:rsidRPr="00620210">
        <w:rPr>
          <w:sz w:val="24"/>
          <w:szCs w:val="24"/>
        </w:rPr>
        <w:t xml:space="preserve"> и противозачаточные средства на основе эстрогенов повышают риск тромбоэмболии, что побуждает гастроэнтерологов рекомендовать обратимые контрацептивы длительного действия вместо методов на основе эстрогенов для женщин с ВЗК. Ни одно исследование не оценивало, следуют ли молодые женщины с ВЗК этому руководству, тем более, что многие пациенты не осведомлены о рисках, связанных с эстрогенами, а молодые женщины обычно предпочитают методы, основанные на эстрогенах. </w:t>
      </w:r>
      <w:r w:rsidR="00B80CB2">
        <w:rPr>
          <w:sz w:val="24"/>
          <w:szCs w:val="24"/>
        </w:rPr>
        <w:t>Авторы</w:t>
      </w:r>
      <w:r w:rsidRPr="00620210">
        <w:rPr>
          <w:sz w:val="24"/>
          <w:szCs w:val="24"/>
        </w:rPr>
        <w:t xml:space="preserve"> оценили модели использования противозачаточных средств для молодых женщин с ВЗК по сравнению с женщинами без ВЗК, включая вероятность использования противозачаточных средств на основе эстрогенов.</w:t>
      </w:r>
    </w:p>
    <w:p w14:paraId="6D2D42B6" w14:textId="7D513FF5" w:rsidR="00620210" w:rsidRDefault="00620210" w:rsidP="009C5C24">
      <w:pPr>
        <w:ind w:firstLine="708"/>
        <w:rPr>
          <w:sz w:val="24"/>
          <w:szCs w:val="24"/>
        </w:rPr>
      </w:pPr>
      <w:r w:rsidRPr="00620210">
        <w:rPr>
          <w:sz w:val="24"/>
          <w:szCs w:val="24"/>
        </w:rPr>
        <w:t>Используя базу данных IQVIA Pharmetrics Plus, базу данных заявлений о медицинском страховании в</w:t>
      </w:r>
      <w:r w:rsidR="00B80CB2">
        <w:rPr>
          <w:sz w:val="24"/>
          <w:szCs w:val="24"/>
        </w:rPr>
        <w:t xml:space="preserve"> </w:t>
      </w:r>
      <w:r w:rsidRPr="00620210">
        <w:rPr>
          <w:sz w:val="24"/>
          <w:szCs w:val="24"/>
        </w:rPr>
        <w:t>США,</w:t>
      </w:r>
      <w:r w:rsidR="00FC1C21">
        <w:rPr>
          <w:sz w:val="24"/>
          <w:szCs w:val="24"/>
        </w:rPr>
        <w:t xml:space="preserve"> проанализировали</w:t>
      </w:r>
      <w:r w:rsidR="009C5C24">
        <w:rPr>
          <w:sz w:val="24"/>
          <w:szCs w:val="24"/>
        </w:rPr>
        <w:t xml:space="preserve"> данные</w:t>
      </w:r>
      <w:r w:rsidRPr="00620210">
        <w:rPr>
          <w:sz w:val="24"/>
          <w:szCs w:val="24"/>
        </w:rPr>
        <w:t xml:space="preserve"> женщин в возрасте 15–25 лет из США с ≥1 противозачаточным средством, отпускаемым по рец</w:t>
      </w:r>
      <w:r w:rsidR="009C5C24">
        <w:rPr>
          <w:sz w:val="24"/>
          <w:szCs w:val="24"/>
        </w:rPr>
        <w:t>епту. В</w:t>
      </w:r>
      <w:r w:rsidRPr="00620210">
        <w:rPr>
          <w:sz w:val="24"/>
          <w:szCs w:val="24"/>
        </w:rPr>
        <w:t>ыявили 802 932 молодых женщины, принимающих противозачаточные средства, из которых 1083 страдали ВЗК. Использование таблеток, пластырей и колец на основе эстрогена было аналогичным или незначительно ниже для женщин с ВЗК по сравнению с женщинами без ВЗК (67,6% против 68,8%, 2,7 против 3,1% и 1,5 против 1,4%). Женщины с ВЗК имели несколько более высокую долю использования имплантатов и ВМС по сравнению с женщинами без ВЗК (16,1% против 14,2%; 1,8% против 1,7%)</w:t>
      </w:r>
      <w:r w:rsidR="0011386D">
        <w:rPr>
          <w:sz w:val="24"/>
          <w:szCs w:val="24"/>
        </w:rPr>
        <w:t>.</w:t>
      </w:r>
    </w:p>
    <w:p w14:paraId="3051EEAA" w14:textId="18987DCC" w:rsidR="00077CFB" w:rsidRDefault="00077CFB" w:rsidP="00077CFB">
      <w:pPr>
        <w:rPr>
          <w:sz w:val="24"/>
          <w:szCs w:val="24"/>
        </w:rPr>
      </w:pPr>
      <w:r w:rsidRPr="00077CFB">
        <w:rPr>
          <w:sz w:val="24"/>
          <w:szCs w:val="24"/>
        </w:rPr>
        <w:t>ЗАКЛЮЧЕНИЕ</w:t>
      </w:r>
      <w:r w:rsidR="0011386D">
        <w:rPr>
          <w:sz w:val="24"/>
          <w:szCs w:val="24"/>
        </w:rPr>
        <w:t xml:space="preserve">. </w:t>
      </w:r>
      <w:r w:rsidRPr="00077CFB">
        <w:rPr>
          <w:sz w:val="24"/>
          <w:szCs w:val="24"/>
        </w:rPr>
        <w:t xml:space="preserve">Молодые женщины с ВЗК, принимающие противозачаточные средства, лишь немного реже используют методы на основе эстрогенов, чем женщины без </w:t>
      </w:r>
      <w:r w:rsidR="00AE5C2B" w:rsidRPr="00077CFB">
        <w:rPr>
          <w:sz w:val="24"/>
          <w:szCs w:val="24"/>
        </w:rPr>
        <w:t>ВЗК</w:t>
      </w:r>
      <w:r w:rsidR="00AE5C2B">
        <w:rPr>
          <w:sz w:val="24"/>
          <w:szCs w:val="24"/>
        </w:rPr>
        <w:t>,</w:t>
      </w:r>
      <w:r w:rsidR="00AE5C2B" w:rsidRPr="00077CFB">
        <w:rPr>
          <w:sz w:val="24"/>
          <w:szCs w:val="24"/>
        </w:rPr>
        <w:t xml:space="preserve"> несмотря на то, что</w:t>
      </w:r>
      <w:r w:rsidRPr="00077CFB">
        <w:rPr>
          <w:sz w:val="24"/>
          <w:szCs w:val="24"/>
        </w:rPr>
        <w:t xml:space="preserve"> при ВЗК предпочт</w:t>
      </w:r>
      <w:r w:rsidR="00655094">
        <w:rPr>
          <w:sz w:val="24"/>
          <w:szCs w:val="24"/>
        </w:rPr>
        <w:t xml:space="preserve">ительны </w:t>
      </w:r>
      <w:r w:rsidR="00655094" w:rsidRPr="00655094">
        <w:rPr>
          <w:sz w:val="24"/>
          <w:szCs w:val="24"/>
        </w:rPr>
        <w:t>контрацептив</w:t>
      </w:r>
      <w:r w:rsidR="00655094">
        <w:rPr>
          <w:sz w:val="24"/>
          <w:szCs w:val="24"/>
        </w:rPr>
        <w:t>ы</w:t>
      </w:r>
      <w:r w:rsidR="00655094" w:rsidRPr="00655094">
        <w:rPr>
          <w:sz w:val="24"/>
          <w:szCs w:val="24"/>
        </w:rPr>
        <w:t xml:space="preserve"> длительного действия</w:t>
      </w:r>
      <w:r w:rsidR="00AE5C2B">
        <w:rPr>
          <w:sz w:val="24"/>
          <w:szCs w:val="24"/>
        </w:rPr>
        <w:t xml:space="preserve">. </w:t>
      </w:r>
      <w:r w:rsidRPr="00077CFB">
        <w:rPr>
          <w:sz w:val="24"/>
          <w:szCs w:val="24"/>
        </w:rPr>
        <w:t>Этот вывод свидетельствует о необходимости усилий по просвещению в области репродуктивного здоровья и исследований безопасности контрацепции, характерных для молодых женщин с ВЗК.</w:t>
      </w:r>
    </w:p>
    <w:p w14:paraId="52800356" w14:textId="77777777" w:rsidR="000B73AB" w:rsidRDefault="000B73AB" w:rsidP="00077CFB">
      <w:pPr>
        <w:rPr>
          <w:sz w:val="24"/>
          <w:szCs w:val="24"/>
        </w:rPr>
      </w:pPr>
    </w:p>
    <w:p w14:paraId="4D3F03A2" w14:textId="43DC42D8" w:rsidR="000B73AB" w:rsidRPr="00A04B5D" w:rsidRDefault="000B73AB" w:rsidP="00077CFB">
      <w:pPr>
        <w:rPr>
          <w:b/>
          <w:bCs/>
          <w:color w:val="4F81BD" w:themeColor="accent1"/>
          <w:sz w:val="32"/>
          <w:szCs w:val="32"/>
        </w:rPr>
      </w:pPr>
      <w:r w:rsidRPr="00A04B5D">
        <w:rPr>
          <w:b/>
          <w:bCs/>
          <w:color w:val="4F81BD" w:themeColor="accent1"/>
          <w:sz w:val="32"/>
          <w:szCs w:val="32"/>
        </w:rPr>
        <w:lastRenderedPageBreak/>
        <w:t>DOP22 Использование антибиотиков</w:t>
      </w:r>
      <w:r w:rsidR="00D1764D" w:rsidRPr="00A04B5D">
        <w:rPr>
          <w:b/>
          <w:bCs/>
          <w:color w:val="4F81BD" w:themeColor="accent1"/>
          <w:sz w:val="32"/>
          <w:szCs w:val="32"/>
        </w:rPr>
        <w:t xml:space="preserve"> </w:t>
      </w:r>
      <w:r w:rsidRPr="00A04B5D">
        <w:rPr>
          <w:b/>
          <w:bCs/>
          <w:color w:val="4F81BD" w:themeColor="accent1"/>
          <w:sz w:val="32"/>
          <w:szCs w:val="32"/>
        </w:rPr>
        <w:t>как фактор риска ВЗК: популяционное когортное исследование</w:t>
      </w:r>
    </w:p>
    <w:p w14:paraId="330D2B00" w14:textId="76F22E04" w:rsidR="00281E9D" w:rsidRPr="00A04B5D" w:rsidRDefault="00573794" w:rsidP="00077CFB">
      <w:pPr>
        <w:rPr>
          <w:lang w:val="en-US"/>
        </w:rPr>
      </w:pPr>
      <w:r w:rsidRPr="00A04B5D">
        <w:rPr>
          <w:lang w:val="en-US"/>
        </w:rPr>
        <w:t>Faye, A.; Allin, K.; Iversen, A.; Agrawal, M.; Faith, J.;</w:t>
      </w:r>
      <w:r w:rsidR="00A04B5D" w:rsidRPr="00A04B5D">
        <w:rPr>
          <w:lang w:val="en-US"/>
        </w:rPr>
        <w:t xml:space="preserve"> </w:t>
      </w:r>
      <w:r w:rsidRPr="00A04B5D">
        <w:rPr>
          <w:lang w:val="en-US"/>
        </w:rPr>
        <w:t>Colombel, J.F;</w:t>
      </w:r>
      <w:r w:rsidR="00A04B5D" w:rsidRPr="00A04B5D">
        <w:rPr>
          <w:lang w:val="en-US"/>
        </w:rPr>
        <w:t xml:space="preserve"> </w:t>
      </w:r>
      <w:r w:rsidRPr="00A04B5D">
        <w:rPr>
          <w:lang w:val="en-US"/>
        </w:rPr>
        <w:t>Jess, T.</w:t>
      </w:r>
    </w:p>
    <w:p w14:paraId="04428D29" w14:textId="12130430" w:rsidR="0030145D" w:rsidRPr="0030145D" w:rsidRDefault="0030145D" w:rsidP="00CC0068">
      <w:pPr>
        <w:ind w:firstLine="708"/>
        <w:rPr>
          <w:sz w:val="24"/>
          <w:szCs w:val="24"/>
        </w:rPr>
      </w:pPr>
      <w:r w:rsidRPr="0030145D">
        <w:rPr>
          <w:sz w:val="24"/>
          <w:szCs w:val="24"/>
        </w:rPr>
        <w:t xml:space="preserve">Антибиотики были связаны с развитием ВЗК в более ранних </w:t>
      </w:r>
      <w:r w:rsidR="00767FE9">
        <w:rPr>
          <w:sz w:val="24"/>
          <w:szCs w:val="24"/>
        </w:rPr>
        <w:t>исследованиях</w:t>
      </w:r>
      <w:r w:rsidRPr="0030145D">
        <w:rPr>
          <w:sz w:val="24"/>
          <w:szCs w:val="24"/>
        </w:rPr>
        <w:t>, но их влияние на риск ВЗК в зависимости от возраста остается неопределенным.</w:t>
      </w:r>
      <w:r w:rsidR="00767FE9">
        <w:rPr>
          <w:sz w:val="24"/>
          <w:szCs w:val="24"/>
        </w:rPr>
        <w:t xml:space="preserve"> Авторы</w:t>
      </w:r>
      <w:r w:rsidRPr="0030145D">
        <w:rPr>
          <w:sz w:val="24"/>
          <w:szCs w:val="24"/>
        </w:rPr>
        <w:t xml:space="preserve"> оценили изменяющееся влияние воздействия антибиотиков, включая реакцию на дозу, время и класс антибиотиков, на риск ВЗК у всех лиц в возрасте ≥10 лет.</w:t>
      </w:r>
    </w:p>
    <w:p w14:paraId="6C7C82BD" w14:textId="21CA98D3" w:rsidR="0030145D" w:rsidRPr="0030145D" w:rsidRDefault="0030145D" w:rsidP="0030145D">
      <w:pPr>
        <w:rPr>
          <w:sz w:val="24"/>
          <w:szCs w:val="24"/>
        </w:rPr>
      </w:pPr>
      <w:r w:rsidRPr="0030145D">
        <w:rPr>
          <w:sz w:val="24"/>
          <w:szCs w:val="24"/>
        </w:rPr>
        <w:t>ПОЛУЧЕННЫЕ РЕЗУЛЬТАТЫ</w:t>
      </w:r>
      <w:r w:rsidR="00767FE9">
        <w:rPr>
          <w:sz w:val="24"/>
          <w:szCs w:val="24"/>
        </w:rPr>
        <w:t xml:space="preserve">. </w:t>
      </w:r>
      <w:r w:rsidRPr="0030145D">
        <w:rPr>
          <w:sz w:val="24"/>
          <w:szCs w:val="24"/>
        </w:rPr>
        <w:t xml:space="preserve">Всего было </w:t>
      </w:r>
      <w:r w:rsidR="00767FE9">
        <w:rPr>
          <w:sz w:val="24"/>
          <w:szCs w:val="24"/>
        </w:rPr>
        <w:t>проанализировано</w:t>
      </w:r>
      <w:r w:rsidRPr="0030145D">
        <w:rPr>
          <w:sz w:val="24"/>
          <w:szCs w:val="24"/>
        </w:rPr>
        <w:t xml:space="preserve"> 6 104 245 человек, 87 112 328 человеко-лет наблюдения, </w:t>
      </w:r>
      <w:r w:rsidR="00767FE9">
        <w:rPr>
          <w:sz w:val="24"/>
          <w:szCs w:val="24"/>
        </w:rPr>
        <w:t xml:space="preserve">выявлено </w:t>
      </w:r>
      <w:r w:rsidRPr="0030145D">
        <w:rPr>
          <w:sz w:val="24"/>
          <w:szCs w:val="24"/>
        </w:rPr>
        <w:t>36 017 нов</w:t>
      </w:r>
      <w:r w:rsidR="00767FE9">
        <w:rPr>
          <w:sz w:val="24"/>
          <w:szCs w:val="24"/>
        </w:rPr>
        <w:t>ых</w:t>
      </w:r>
      <w:r w:rsidRPr="0030145D">
        <w:rPr>
          <w:sz w:val="24"/>
          <w:szCs w:val="24"/>
        </w:rPr>
        <w:t xml:space="preserve"> случа</w:t>
      </w:r>
      <w:r w:rsidR="00767FE9">
        <w:rPr>
          <w:sz w:val="24"/>
          <w:szCs w:val="24"/>
        </w:rPr>
        <w:t xml:space="preserve">ев </w:t>
      </w:r>
      <w:r w:rsidRPr="0030145D">
        <w:rPr>
          <w:sz w:val="24"/>
          <w:szCs w:val="24"/>
        </w:rPr>
        <w:t>Я</w:t>
      </w:r>
      <w:r w:rsidR="00767FE9">
        <w:rPr>
          <w:sz w:val="24"/>
          <w:szCs w:val="24"/>
        </w:rPr>
        <w:t>К</w:t>
      </w:r>
      <w:r w:rsidRPr="0030145D">
        <w:rPr>
          <w:sz w:val="24"/>
          <w:szCs w:val="24"/>
        </w:rPr>
        <w:t xml:space="preserve"> и 16 881 </w:t>
      </w:r>
      <w:r w:rsidR="00767FE9">
        <w:rPr>
          <w:sz w:val="24"/>
          <w:szCs w:val="24"/>
        </w:rPr>
        <w:t xml:space="preserve">- </w:t>
      </w:r>
      <w:r w:rsidRPr="0030145D">
        <w:rPr>
          <w:sz w:val="24"/>
          <w:szCs w:val="24"/>
        </w:rPr>
        <w:t>БК. Воздействие антибиотиков было связано с повышенным риском ВЗК по сравнению с отсутствием воздействия антибиотиков для всех возрастных групп, хотя был наибольшим среди лиц в возрасте 40–60 лет и ≥ 60 лет (10–40 лет, IRR 1,28, 95% ДИ 1,25–1,32; возраст 40–60 лет, IRR 1,48, 95% ДИ 1,43–1,54; возраст ≥ 60 лет, IRR 1,47, 95% ДИ 1,42–1,53). При оценке количества пройденных курсов антибиотиков каждый последующий курс добавлял дополнительный риск, что приводило к положительной зависимости доза-эффект для всех возрастных групп</w:t>
      </w:r>
      <w:r w:rsidR="00761E5E">
        <w:rPr>
          <w:sz w:val="24"/>
          <w:szCs w:val="24"/>
        </w:rPr>
        <w:t xml:space="preserve">. </w:t>
      </w:r>
      <w:r w:rsidRPr="0030145D">
        <w:rPr>
          <w:sz w:val="24"/>
          <w:szCs w:val="24"/>
        </w:rPr>
        <w:t xml:space="preserve">Наибольший риск развития ВЗК наблюдался через 1-2 года после применения антибиотиков, а также после применения классов антибиотиков, часто назначаемых для лечения желудочно-кишечных </w:t>
      </w:r>
      <w:r w:rsidR="0047490E">
        <w:rPr>
          <w:sz w:val="24"/>
          <w:szCs w:val="24"/>
        </w:rPr>
        <w:t>патогенов</w:t>
      </w:r>
      <w:r w:rsidRPr="0030145D">
        <w:rPr>
          <w:sz w:val="24"/>
          <w:szCs w:val="24"/>
        </w:rPr>
        <w:t>. Нитрофурантоин, оказывающий минимальное влияние на микробиом кишечника, не был связан с риском ВЗК во всех возрастных группах</w:t>
      </w:r>
      <w:r w:rsidR="0081100E">
        <w:rPr>
          <w:sz w:val="24"/>
          <w:szCs w:val="24"/>
        </w:rPr>
        <w:t>.</w:t>
      </w:r>
    </w:p>
    <w:p w14:paraId="1B1E0220" w14:textId="62740782" w:rsidR="0030145D" w:rsidRDefault="0030145D" w:rsidP="0030145D">
      <w:pPr>
        <w:rPr>
          <w:sz w:val="24"/>
          <w:szCs w:val="24"/>
        </w:rPr>
      </w:pPr>
      <w:r w:rsidRPr="0030145D">
        <w:rPr>
          <w:sz w:val="24"/>
          <w:szCs w:val="24"/>
        </w:rPr>
        <w:t>ЗАКЛЮЧЕНИЕ</w:t>
      </w:r>
      <w:r w:rsidR="0081100E">
        <w:rPr>
          <w:sz w:val="24"/>
          <w:szCs w:val="24"/>
        </w:rPr>
        <w:t>. Р</w:t>
      </w:r>
      <w:r w:rsidRPr="0030145D">
        <w:rPr>
          <w:sz w:val="24"/>
          <w:szCs w:val="24"/>
        </w:rPr>
        <w:t xml:space="preserve">езультаты </w:t>
      </w:r>
      <w:r w:rsidR="0081100E">
        <w:rPr>
          <w:sz w:val="24"/>
          <w:szCs w:val="24"/>
        </w:rPr>
        <w:t xml:space="preserve">исследования </w:t>
      </w:r>
      <w:r w:rsidRPr="0030145D">
        <w:rPr>
          <w:sz w:val="24"/>
          <w:szCs w:val="24"/>
        </w:rPr>
        <w:t>демонстрируют положительную дозо</w:t>
      </w:r>
      <w:r w:rsidR="007D0E89">
        <w:rPr>
          <w:sz w:val="24"/>
          <w:szCs w:val="24"/>
        </w:rPr>
        <w:t>-</w:t>
      </w:r>
      <w:r w:rsidRPr="0030145D">
        <w:rPr>
          <w:sz w:val="24"/>
          <w:szCs w:val="24"/>
        </w:rPr>
        <w:t xml:space="preserve">зависимую реакцию, подчеркивая тесную связь между воздействием антибиотиков и развитием ВЗК, особенно у взрослых 40 лет и старше. Этот риск был самым высоким в первые годы после применения антибиотиков, сохранялся во всех классах антибиотиков, влияя на микробиом желудочно-кишечного тракта, и был связан с развитием как ЯК, так и БК. Таким образом, рациональное использование антибиотиков может иметь важное значение не только для ограничения развития микроорганизмов с множественной лекарственной </w:t>
      </w:r>
      <w:r w:rsidR="00E45AA1">
        <w:rPr>
          <w:sz w:val="24"/>
          <w:szCs w:val="24"/>
        </w:rPr>
        <w:t>резистентностью</w:t>
      </w:r>
      <w:r w:rsidRPr="0030145D">
        <w:rPr>
          <w:sz w:val="24"/>
          <w:szCs w:val="24"/>
        </w:rPr>
        <w:t>, но и для снижения риска ВЗК, особенно среди пожилых людей.</w:t>
      </w:r>
    </w:p>
    <w:p w14:paraId="1B566819" w14:textId="77777777" w:rsidR="00440E46" w:rsidRDefault="00440E46" w:rsidP="0030145D">
      <w:pPr>
        <w:rPr>
          <w:sz w:val="24"/>
          <w:szCs w:val="24"/>
        </w:rPr>
      </w:pPr>
    </w:p>
    <w:p w14:paraId="7543F8BC" w14:textId="7748E937" w:rsidR="00E046AD" w:rsidRPr="00E046AD" w:rsidRDefault="00E046AD" w:rsidP="00440E46">
      <w:pPr>
        <w:rPr>
          <w:b/>
          <w:bCs/>
          <w:color w:val="4F81BD" w:themeColor="accent1"/>
          <w:sz w:val="32"/>
          <w:szCs w:val="32"/>
        </w:rPr>
      </w:pPr>
      <w:r w:rsidRPr="00E046AD">
        <w:rPr>
          <w:b/>
          <w:bCs/>
          <w:color w:val="4F81BD" w:themeColor="accent1"/>
          <w:sz w:val="32"/>
          <w:szCs w:val="32"/>
        </w:rPr>
        <w:t>P114 Повышение уровня биомаркера мигрени</w:t>
      </w:r>
      <w:bookmarkStart w:id="1" w:name="_Hlk140837555"/>
      <w:r w:rsidRPr="00E046AD">
        <w:rPr>
          <w:b/>
          <w:bCs/>
          <w:color w:val="4F81BD" w:themeColor="accent1"/>
          <w:sz w:val="32"/>
          <w:szCs w:val="32"/>
        </w:rPr>
        <w:t xml:space="preserve">, </w:t>
      </w:r>
      <w:r w:rsidR="00DE2CDB" w:rsidRPr="00E046AD">
        <w:rPr>
          <w:b/>
          <w:bCs/>
          <w:color w:val="4F81BD" w:themeColor="accent1"/>
          <w:sz w:val="32"/>
          <w:szCs w:val="32"/>
        </w:rPr>
        <w:t>кальцитонина</w:t>
      </w:r>
      <w:r w:rsidR="009C2220">
        <w:rPr>
          <w:b/>
          <w:bCs/>
          <w:color w:val="4F81BD" w:themeColor="accent1"/>
          <w:sz w:val="32"/>
          <w:szCs w:val="32"/>
        </w:rPr>
        <w:t>-</w:t>
      </w:r>
      <w:r w:rsidR="00DE2CDB" w:rsidRPr="00E046AD">
        <w:rPr>
          <w:b/>
          <w:bCs/>
          <w:color w:val="4F81BD" w:themeColor="accent1"/>
          <w:sz w:val="32"/>
          <w:szCs w:val="32"/>
        </w:rPr>
        <w:t>ген</w:t>
      </w:r>
      <w:r w:rsidR="00E24B6D">
        <w:rPr>
          <w:b/>
          <w:bCs/>
          <w:color w:val="4F81BD" w:themeColor="accent1"/>
          <w:sz w:val="32"/>
          <w:szCs w:val="32"/>
        </w:rPr>
        <w:t>-</w:t>
      </w:r>
      <w:r w:rsidRPr="00E046AD">
        <w:rPr>
          <w:b/>
          <w:bCs/>
          <w:color w:val="4F81BD" w:themeColor="accent1"/>
          <w:sz w:val="32"/>
          <w:szCs w:val="32"/>
        </w:rPr>
        <w:t>связанного</w:t>
      </w:r>
      <w:r w:rsidR="009C2220">
        <w:rPr>
          <w:b/>
          <w:bCs/>
          <w:color w:val="4F81BD" w:themeColor="accent1"/>
          <w:sz w:val="32"/>
          <w:szCs w:val="32"/>
        </w:rPr>
        <w:t xml:space="preserve"> </w:t>
      </w:r>
      <w:r w:rsidRPr="00E046AD">
        <w:rPr>
          <w:b/>
          <w:bCs/>
          <w:color w:val="4F81BD" w:themeColor="accent1"/>
          <w:sz w:val="32"/>
          <w:szCs w:val="32"/>
        </w:rPr>
        <w:t xml:space="preserve">пептида </w:t>
      </w:r>
      <w:bookmarkEnd w:id="1"/>
      <w:r w:rsidRPr="00E046AD">
        <w:rPr>
          <w:b/>
          <w:bCs/>
          <w:color w:val="4F81BD" w:themeColor="accent1"/>
          <w:sz w:val="32"/>
          <w:szCs w:val="32"/>
        </w:rPr>
        <w:t xml:space="preserve">в сыворотке у пациентов с впервые диагностированным </w:t>
      </w:r>
      <w:r w:rsidR="00E24B6D">
        <w:rPr>
          <w:b/>
          <w:bCs/>
          <w:color w:val="4F81BD" w:themeColor="accent1"/>
          <w:sz w:val="32"/>
          <w:szCs w:val="32"/>
        </w:rPr>
        <w:t>ВЗК</w:t>
      </w:r>
      <w:r w:rsidRPr="00E046AD">
        <w:rPr>
          <w:b/>
          <w:bCs/>
          <w:color w:val="4F81BD" w:themeColor="accent1"/>
          <w:sz w:val="32"/>
          <w:szCs w:val="32"/>
        </w:rPr>
        <w:t>: новый медиатор оси кишечник-мозг</w:t>
      </w:r>
    </w:p>
    <w:p w14:paraId="5D01A075" w14:textId="77777777" w:rsidR="00E046AD" w:rsidRDefault="00E046AD" w:rsidP="00440E46">
      <w:pPr>
        <w:rPr>
          <w:sz w:val="24"/>
          <w:szCs w:val="24"/>
        </w:rPr>
      </w:pPr>
    </w:p>
    <w:p w14:paraId="2BA9FD86" w14:textId="3E3B2BBE" w:rsidR="00440E46" w:rsidRPr="00440E46" w:rsidRDefault="00440E46" w:rsidP="00D95A0C">
      <w:pPr>
        <w:ind w:firstLine="708"/>
        <w:rPr>
          <w:sz w:val="24"/>
          <w:szCs w:val="24"/>
        </w:rPr>
      </w:pPr>
      <w:r w:rsidRPr="00440E46">
        <w:rPr>
          <w:sz w:val="24"/>
          <w:szCs w:val="24"/>
        </w:rPr>
        <w:t xml:space="preserve">Известно, что </w:t>
      </w:r>
      <w:r w:rsidR="00D95A0C" w:rsidRPr="00D95A0C">
        <w:rPr>
          <w:sz w:val="24"/>
          <w:szCs w:val="24"/>
        </w:rPr>
        <w:t>кальцитонин-ген-связанн</w:t>
      </w:r>
      <w:r w:rsidR="00400336">
        <w:rPr>
          <w:sz w:val="24"/>
          <w:szCs w:val="24"/>
        </w:rPr>
        <w:t>ый</w:t>
      </w:r>
      <w:r w:rsidR="00D95A0C" w:rsidRPr="00D95A0C">
        <w:rPr>
          <w:sz w:val="24"/>
          <w:szCs w:val="24"/>
        </w:rPr>
        <w:t xml:space="preserve"> </w:t>
      </w:r>
      <w:r w:rsidRPr="00440E46">
        <w:rPr>
          <w:sz w:val="24"/>
          <w:szCs w:val="24"/>
        </w:rPr>
        <w:t>пептид</w:t>
      </w:r>
      <w:r w:rsidR="00400336">
        <w:rPr>
          <w:sz w:val="24"/>
          <w:szCs w:val="24"/>
        </w:rPr>
        <w:t xml:space="preserve"> </w:t>
      </w:r>
      <w:r w:rsidRPr="00440E46">
        <w:rPr>
          <w:sz w:val="24"/>
          <w:szCs w:val="24"/>
        </w:rPr>
        <w:t>является наиболее мощным сосудорасширяющим средством в организме и способствует миграции воспалительных клеток. Изоформа CGRPβ расположена в</w:t>
      </w:r>
      <w:r w:rsidR="000056D5">
        <w:rPr>
          <w:sz w:val="24"/>
          <w:szCs w:val="24"/>
        </w:rPr>
        <w:t xml:space="preserve"> периферической</w:t>
      </w:r>
      <w:r w:rsidRPr="00440E46">
        <w:rPr>
          <w:sz w:val="24"/>
          <w:szCs w:val="24"/>
        </w:rPr>
        <w:t xml:space="preserve"> нервной систем</w:t>
      </w:r>
      <w:r w:rsidR="000056D5">
        <w:rPr>
          <w:sz w:val="24"/>
          <w:szCs w:val="24"/>
        </w:rPr>
        <w:t>е</w:t>
      </w:r>
      <w:r w:rsidRPr="00440E46">
        <w:rPr>
          <w:sz w:val="24"/>
          <w:szCs w:val="24"/>
        </w:rPr>
        <w:t xml:space="preserve">, а CGRPα в основном присутствует в центральной нервной системе. GRPα является ключевой молекулой мигрени, </w:t>
      </w:r>
      <w:r w:rsidR="00115ED8">
        <w:rPr>
          <w:sz w:val="24"/>
          <w:szCs w:val="24"/>
        </w:rPr>
        <w:t xml:space="preserve">способной вызывать </w:t>
      </w:r>
      <w:r w:rsidRPr="00440E46">
        <w:rPr>
          <w:sz w:val="24"/>
          <w:szCs w:val="24"/>
        </w:rPr>
        <w:t>симптомы</w:t>
      </w:r>
      <w:r w:rsidR="00115ED8">
        <w:rPr>
          <w:sz w:val="24"/>
          <w:szCs w:val="24"/>
        </w:rPr>
        <w:t xml:space="preserve"> со стороны ЖКТ</w:t>
      </w:r>
      <w:r w:rsidRPr="00440E46">
        <w:rPr>
          <w:sz w:val="24"/>
          <w:szCs w:val="24"/>
        </w:rPr>
        <w:t>. Было высказано предположение, что распространенность мигрени увеличивается при ВЗК.</w:t>
      </w:r>
    </w:p>
    <w:p w14:paraId="54904DCE" w14:textId="5D868F3B" w:rsidR="00440E46" w:rsidRPr="00440E46" w:rsidRDefault="00440E46" w:rsidP="004D41DF">
      <w:pPr>
        <w:ind w:firstLine="708"/>
        <w:rPr>
          <w:sz w:val="24"/>
          <w:szCs w:val="24"/>
        </w:rPr>
      </w:pPr>
      <w:r w:rsidRPr="00440E46">
        <w:rPr>
          <w:sz w:val="24"/>
          <w:szCs w:val="24"/>
        </w:rPr>
        <w:lastRenderedPageBreak/>
        <w:t>Цель исследования состояла в том, чтобы оценить уровни CGRPα в сыворотке у пациентов с недавно диагностированным ВЗК, стратифицированных по диагнозу мигрени, чтобы раскрыть его потенциальную роль в заболевании.</w:t>
      </w:r>
      <w:r w:rsidR="004D41DF">
        <w:rPr>
          <w:sz w:val="24"/>
          <w:szCs w:val="24"/>
        </w:rPr>
        <w:t xml:space="preserve"> </w:t>
      </w:r>
      <w:r w:rsidRPr="00440E46">
        <w:rPr>
          <w:sz w:val="24"/>
          <w:szCs w:val="24"/>
        </w:rPr>
        <w:t xml:space="preserve">Концентрации CGRPα в сыворотке измеряли с помощью ELISA (CUSABIO, Китай) </w:t>
      </w:r>
      <w:r w:rsidR="004D41DF">
        <w:rPr>
          <w:sz w:val="24"/>
          <w:szCs w:val="24"/>
        </w:rPr>
        <w:t xml:space="preserve">у </w:t>
      </w:r>
      <w:r w:rsidRPr="00440E46">
        <w:rPr>
          <w:sz w:val="24"/>
          <w:szCs w:val="24"/>
        </w:rPr>
        <w:t xml:space="preserve">пациентов с недавно диагностированным ВЗК. </w:t>
      </w:r>
      <w:r w:rsidR="00D96450">
        <w:rPr>
          <w:sz w:val="24"/>
          <w:szCs w:val="24"/>
        </w:rPr>
        <w:t>П</w:t>
      </w:r>
      <w:r w:rsidRPr="00440E46">
        <w:rPr>
          <w:sz w:val="24"/>
          <w:szCs w:val="24"/>
        </w:rPr>
        <w:t>ациентов опрашивали о предшествующем диагнозе мигрени, использовали утвержденный опросник ID-мигрень. Результаты сравнивали со здоровым контролем</w:t>
      </w:r>
      <w:r w:rsidR="00061AFE">
        <w:rPr>
          <w:sz w:val="24"/>
          <w:szCs w:val="24"/>
        </w:rPr>
        <w:t>.</w:t>
      </w:r>
    </w:p>
    <w:p w14:paraId="486A5D5B" w14:textId="0E31A660" w:rsidR="00440E46" w:rsidRPr="00440E46" w:rsidRDefault="00440E46" w:rsidP="00440E46">
      <w:pPr>
        <w:rPr>
          <w:sz w:val="24"/>
          <w:szCs w:val="24"/>
        </w:rPr>
      </w:pPr>
      <w:r w:rsidRPr="00440E46">
        <w:rPr>
          <w:sz w:val="24"/>
          <w:szCs w:val="24"/>
        </w:rPr>
        <w:t>ПОЛУЧЕННЫЕ РЕЗУЛЬТАТЫ</w:t>
      </w:r>
      <w:r w:rsidR="00061AFE">
        <w:rPr>
          <w:sz w:val="24"/>
          <w:szCs w:val="24"/>
        </w:rPr>
        <w:t>. 62</w:t>
      </w:r>
      <w:r w:rsidRPr="00440E46">
        <w:rPr>
          <w:sz w:val="24"/>
          <w:szCs w:val="24"/>
        </w:rPr>
        <w:t xml:space="preserve"> пациента с впервые диагностированным ВЗК (средний возраст 47,9±16,3 года, 62,5% женщины) были сопоставлены с 71 </w:t>
      </w:r>
      <w:r w:rsidR="00EA6482">
        <w:rPr>
          <w:sz w:val="24"/>
          <w:szCs w:val="24"/>
        </w:rPr>
        <w:t>контролем</w:t>
      </w:r>
      <w:r w:rsidRPr="00440E46">
        <w:rPr>
          <w:sz w:val="24"/>
          <w:szCs w:val="24"/>
        </w:rPr>
        <w:t xml:space="preserve"> (средний возраст 48,2±16,7 года, 64,8% женщины). Образцы были собраны между 0 и 249 днями после установления диагноза</w:t>
      </w:r>
      <w:r w:rsidR="004D41DF">
        <w:rPr>
          <w:sz w:val="24"/>
          <w:szCs w:val="24"/>
        </w:rPr>
        <w:t>.</w:t>
      </w:r>
      <w:r w:rsidRPr="00440E46">
        <w:rPr>
          <w:sz w:val="24"/>
          <w:szCs w:val="24"/>
        </w:rPr>
        <w:t xml:space="preserve"> Включили 27 пациентов с болезнью Крона, 31 с ЯК и 4 с ВЗК. Пятнадцать пациенток соответствовали критериям мигрени (22,7%).</w:t>
      </w:r>
    </w:p>
    <w:p w14:paraId="3C4DDE9C" w14:textId="4FA470DF" w:rsidR="00440E46" w:rsidRPr="00E756CD" w:rsidRDefault="00440E46" w:rsidP="00440E46">
      <w:pPr>
        <w:rPr>
          <w:sz w:val="24"/>
          <w:szCs w:val="24"/>
        </w:rPr>
      </w:pPr>
      <w:r w:rsidRPr="00440E46">
        <w:rPr>
          <w:sz w:val="24"/>
          <w:szCs w:val="24"/>
        </w:rPr>
        <w:t xml:space="preserve">Уровни CGRPα в сыворотке у пациентов с ВЗК были значительно повышены (59,7±26,3 пг/мл) по сравнению с ГХ (43,6±25,3 пг/мл, p&lt;0,0001). CGRPα оставался значительно повышенным по сравнению с </w:t>
      </w:r>
      <w:r w:rsidR="003B75E1">
        <w:rPr>
          <w:sz w:val="24"/>
          <w:szCs w:val="24"/>
        </w:rPr>
        <w:t>контролем</w:t>
      </w:r>
      <w:r w:rsidRPr="00440E46">
        <w:rPr>
          <w:sz w:val="24"/>
          <w:szCs w:val="24"/>
        </w:rPr>
        <w:t xml:space="preserve"> как у пациентов с ВЗК с мигренью (74,8±27,3 пг/мл, p&lt;0,001), так и без мигрени (58,6±24,4 пг/мл, p&lt;0,05), хотя у пациентов с мигренью он был значительно повышен по сравнению с пациентами с ВЗК без мигрени (p&lt;0,05). </w:t>
      </w:r>
    </w:p>
    <w:p w14:paraId="226F8A31" w14:textId="36665A26" w:rsidR="00F346DD" w:rsidRDefault="00C13590" w:rsidP="00C92258">
      <w:r>
        <w:rPr>
          <w:noProof/>
          <w:lang w:eastAsia="ru-RU"/>
        </w:rPr>
        <w:drawing>
          <wp:inline distT="0" distB="0" distL="0" distR="0" wp14:anchorId="6A893B9F" wp14:editId="0C051A66">
            <wp:extent cx="2415734" cy="30480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78" cy="305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478B">
        <w:rPr>
          <w:noProof/>
          <w:lang w:eastAsia="ru-RU"/>
        </w:rPr>
        <w:drawing>
          <wp:inline distT="0" distB="0" distL="0" distR="0" wp14:anchorId="4D1CE4AD" wp14:editId="0DD81886">
            <wp:extent cx="1837308" cy="3000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40" cy="300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68D26" w14:textId="02B045A8" w:rsidR="0046270B" w:rsidRPr="00513E3D" w:rsidRDefault="0046270B" w:rsidP="0046270B">
      <w:r>
        <w:t xml:space="preserve">ЗАКЛЮЧЕНИЕ. Уровни CGRPα в сыворотке повышены у пациентов с ВЗК независимо от диагноза мигрени, что может указывать на роль этого пептида в патофизиологии ВЗК. Эти результаты, и особенно более высокие уровни у пациентов с ВЗК </w:t>
      </w:r>
      <w:r w:rsidR="00315E10">
        <w:t>и</w:t>
      </w:r>
      <w:r>
        <w:t xml:space="preserve"> мигренью, предполагают двунаправленную общую патофизиологию между мигренью и ВЗК, что может быть еще одним примером клинической значимости оси кишечник-мозг.</w:t>
      </w:r>
    </w:p>
    <w:p w14:paraId="1BAEC9A3" w14:textId="1B7A2731" w:rsidR="00824D99" w:rsidRPr="00513E3D" w:rsidRDefault="00824D99" w:rsidP="00C92258"/>
    <w:p w14:paraId="44480927" w14:textId="44966913" w:rsidR="00093B69" w:rsidRPr="0090037E" w:rsidRDefault="00180DA9" w:rsidP="00C92258">
      <w:pPr>
        <w:rPr>
          <w:b/>
          <w:bCs/>
          <w:color w:val="4F81BD" w:themeColor="accent1"/>
          <w:sz w:val="32"/>
          <w:szCs w:val="32"/>
        </w:rPr>
      </w:pPr>
      <w:r w:rsidRPr="00180DA9">
        <w:rPr>
          <w:b/>
          <w:bCs/>
          <w:color w:val="4F81BD" w:themeColor="accent1"/>
          <w:sz w:val="32"/>
          <w:szCs w:val="32"/>
        </w:rPr>
        <w:t>OP12</w:t>
      </w:r>
      <w:r w:rsidR="00AC311F">
        <w:rPr>
          <w:b/>
          <w:bCs/>
          <w:color w:val="4F81BD" w:themeColor="accent1"/>
          <w:sz w:val="32"/>
          <w:szCs w:val="32"/>
        </w:rPr>
        <w:t>:</w:t>
      </w:r>
      <w:r w:rsidRPr="00180DA9">
        <w:rPr>
          <w:b/>
          <w:bCs/>
          <w:color w:val="4F81BD" w:themeColor="accent1"/>
          <w:sz w:val="32"/>
          <w:szCs w:val="32"/>
        </w:rPr>
        <w:t xml:space="preserve"> </w:t>
      </w:r>
      <w:r w:rsidR="00AC311F">
        <w:rPr>
          <w:b/>
          <w:bCs/>
          <w:color w:val="4F81BD" w:themeColor="accent1"/>
          <w:sz w:val="32"/>
          <w:szCs w:val="32"/>
        </w:rPr>
        <w:t>И</w:t>
      </w:r>
      <w:r w:rsidRPr="00180DA9">
        <w:rPr>
          <w:b/>
          <w:bCs/>
          <w:color w:val="4F81BD" w:themeColor="accent1"/>
          <w:sz w:val="32"/>
          <w:szCs w:val="32"/>
        </w:rPr>
        <w:t xml:space="preserve">зменяет ли раннее назначение биологических препаратов естественное течение ВЗК? </w:t>
      </w:r>
      <w:r w:rsidR="00401FCA">
        <w:rPr>
          <w:b/>
          <w:bCs/>
          <w:color w:val="4F81BD" w:themeColor="accent1"/>
          <w:sz w:val="32"/>
          <w:szCs w:val="32"/>
        </w:rPr>
        <w:t>Н</w:t>
      </w:r>
      <w:r w:rsidRPr="00180DA9">
        <w:rPr>
          <w:b/>
          <w:bCs/>
          <w:color w:val="4F81BD" w:themeColor="accent1"/>
          <w:sz w:val="32"/>
          <w:szCs w:val="32"/>
        </w:rPr>
        <w:t>ациональное исследование epi-IIRN</w:t>
      </w:r>
      <w:r w:rsidR="0090037E" w:rsidRPr="0090037E">
        <w:rPr>
          <w:b/>
          <w:bCs/>
          <w:color w:val="4F81BD" w:themeColor="accent1"/>
          <w:sz w:val="32"/>
          <w:szCs w:val="32"/>
        </w:rPr>
        <w:t xml:space="preserve"> </w:t>
      </w:r>
      <w:r w:rsidR="0090037E">
        <w:rPr>
          <w:b/>
          <w:bCs/>
          <w:color w:val="4F81BD" w:themeColor="accent1"/>
          <w:sz w:val="32"/>
          <w:szCs w:val="32"/>
        </w:rPr>
        <w:t>(Израиль)</w:t>
      </w:r>
    </w:p>
    <w:p w14:paraId="76853010" w14:textId="06BDDDC7" w:rsidR="00D32020" w:rsidRPr="00736FF4" w:rsidRDefault="00D32020" w:rsidP="00C92258">
      <w:pPr>
        <w:rPr>
          <w:lang w:val="en-US"/>
        </w:rPr>
      </w:pPr>
      <w:r w:rsidRPr="00D32020">
        <w:rPr>
          <w:lang w:val="en-US"/>
        </w:rPr>
        <w:t>Focht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G</w:t>
      </w:r>
      <w:r w:rsidRPr="00736FF4">
        <w:rPr>
          <w:lang w:val="en-US"/>
        </w:rPr>
        <w:t>. ;</w:t>
      </w:r>
      <w:r w:rsidRPr="00D32020">
        <w:rPr>
          <w:lang w:val="en-US"/>
        </w:rPr>
        <w:t>Lujan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R</w:t>
      </w:r>
      <w:r w:rsidRPr="00736FF4">
        <w:rPr>
          <w:lang w:val="en-US"/>
        </w:rPr>
        <w:t>.;</w:t>
      </w:r>
      <w:r w:rsidRPr="00D32020">
        <w:rPr>
          <w:lang w:val="en-US"/>
        </w:rPr>
        <w:t>Atia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O</w:t>
      </w:r>
      <w:r w:rsidRPr="00736FF4">
        <w:rPr>
          <w:lang w:val="en-US"/>
        </w:rPr>
        <w:t>.;</w:t>
      </w:r>
      <w:r w:rsidRPr="00D32020">
        <w:rPr>
          <w:lang w:val="en-US"/>
        </w:rPr>
        <w:t>Greenfeld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S</w:t>
      </w:r>
      <w:r w:rsidRPr="00736FF4">
        <w:rPr>
          <w:lang w:val="en-US"/>
        </w:rPr>
        <w:t>.;</w:t>
      </w:r>
      <w:r w:rsidRPr="00D32020">
        <w:rPr>
          <w:lang w:val="en-US"/>
        </w:rPr>
        <w:t>Kariv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R</w:t>
      </w:r>
      <w:r w:rsidRPr="00736FF4">
        <w:rPr>
          <w:lang w:val="en-US"/>
        </w:rPr>
        <w:t>.;</w:t>
      </w:r>
      <w:r w:rsidRPr="00D32020">
        <w:rPr>
          <w:lang w:val="en-US"/>
        </w:rPr>
        <w:t>Loewenberg</w:t>
      </w:r>
      <w:r w:rsidRPr="00736FF4">
        <w:rPr>
          <w:lang w:val="en-US"/>
        </w:rPr>
        <w:t xml:space="preserve"> </w:t>
      </w:r>
      <w:r w:rsidRPr="00D32020">
        <w:rPr>
          <w:lang w:val="en-US"/>
        </w:rPr>
        <w:t>Weisband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Y</w:t>
      </w:r>
      <w:r w:rsidRPr="00736FF4">
        <w:rPr>
          <w:lang w:val="en-US"/>
        </w:rPr>
        <w:t>.;</w:t>
      </w:r>
      <w:r w:rsidRPr="00D32020">
        <w:rPr>
          <w:lang w:val="en-US"/>
        </w:rPr>
        <w:t>Lederman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N</w:t>
      </w:r>
      <w:r w:rsidRPr="00736FF4">
        <w:rPr>
          <w:lang w:val="en-US"/>
        </w:rPr>
        <w:t>.;</w:t>
      </w:r>
      <w:r w:rsidRPr="00D32020">
        <w:rPr>
          <w:lang w:val="en-US"/>
        </w:rPr>
        <w:t>Matz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E</w:t>
      </w:r>
      <w:r w:rsidRPr="00736FF4">
        <w:rPr>
          <w:lang w:val="en-US"/>
        </w:rPr>
        <w:t>.;</w:t>
      </w:r>
      <w:r w:rsidRPr="00D32020">
        <w:rPr>
          <w:lang w:val="en-US"/>
        </w:rPr>
        <w:t>Dotan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I</w:t>
      </w:r>
      <w:r w:rsidRPr="00736FF4">
        <w:rPr>
          <w:lang w:val="en-US"/>
        </w:rPr>
        <w:t>.;</w:t>
      </w:r>
      <w:r w:rsidRPr="00D32020">
        <w:rPr>
          <w:lang w:val="en-US"/>
        </w:rPr>
        <w:t>Turner</w:t>
      </w:r>
      <w:r w:rsidRPr="00736FF4">
        <w:rPr>
          <w:lang w:val="en-US"/>
        </w:rPr>
        <w:t xml:space="preserve">, </w:t>
      </w:r>
      <w:r w:rsidRPr="00D32020">
        <w:rPr>
          <w:lang w:val="en-US"/>
        </w:rPr>
        <w:t>D</w:t>
      </w:r>
      <w:r w:rsidRPr="00736FF4">
        <w:rPr>
          <w:lang w:val="en-US"/>
        </w:rPr>
        <w:t>.</w:t>
      </w:r>
    </w:p>
    <w:p w14:paraId="5DBDB016" w14:textId="77777777" w:rsidR="00FD2D4B" w:rsidRDefault="00FA74EA" w:rsidP="00FD2D4B">
      <w:pPr>
        <w:ind w:firstLine="708"/>
        <w:rPr>
          <w:sz w:val="24"/>
          <w:szCs w:val="24"/>
        </w:rPr>
      </w:pPr>
      <w:r w:rsidRPr="00FA74EA">
        <w:rPr>
          <w:sz w:val="24"/>
          <w:szCs w:val="24"/>
        </w:rPr>
        <w:lastRenderedPageBreak/>
        <w:t xml:space="preserve">Данные о пациентах с диагнозом ВЗК в когорте </w:t>
      </w:r>
      <w:r w:rsidRPr="00FA74EA">
        <w:rPr>
          <w:sz w:val="24"/>
          <w:szCs w:val="24"/>
          <w:lang w:val="en-US"/>
        </w:rPr>
        <w:t>epi</w:t>
      </w:r>
      <w:r w:rsidRPr="00FA74EA">
        <w:rPr>
          <w:sz w:val="24"/>
          <w:szCs w:val="24"/>
        </w:rPr>
        <w:t>-</w:t>
      </w:r>
      <w:r w:rsidRPr="00FA74EA">
        <w:rPr>
          <w:sz w:val="24"/>
          <w:szCs w:val="24"/>
          <w:lang w:val="en-US"/>
        </w:rPr>
        <w:t>IIRN</w:t>
      </w:r>
      <w:r w:rsidRPr="00FA74EA">
        <w:rPr>
          <w:sz w:val="24"/>
          <w:szCs w:val="24"/>
        </w:rPr>
        <w:t xml:space="preserve"> с 2005 по 2020 год были получены из 4 израильских организаций здравоохранения, охватывающих 98% населения. Первичный анализ проводился во время лечения стероидной зависимости и связанного с ВЗК хирургического вмешательства</w:t>
      </w:r>
      <w:r w:rsidR="00555295">
        <w:rPr>
          <w:sz w:val="24"/>
          <w:szCs w:val="24"/>
        </w:rPr>
        <w:t xml:space="preserve">. </w:t>
      </w:r>
      <w:r w:rsidRPr="00FA74EA">
        <w:rPr>
          <w:sz w:val="24"/>
          <w:szCs w:val="24"/>
        </w:rPr>
        <w:t>Вероятности выживания (</w:t>
      </w:r>
      <w:r w:rsidRPr="00FA74EA">
        <w:rPr>
          <w:sz w:val="24"/>
          <w:szCs w:val="24"/>
          <w:lang w:val="en-US"/>
        </w:rPr>
        <w:t>POS</w:t>
      </w:r>
      <w:r w:rsidRPr="00FA74EA">
        <w:rPr>
          <w:sz w:val="24"/>
          <w:szCs w:val="24"/>
        </w:rPr>
        <w:t>) оценивались и сравнивались через 10 лет после постановки диагноза для каждой стратегии с помощью взвешенных непараметрических оценок Каплана-Мейера. 95% ДИ для вероятности выживания были рассчитаны с использованием непараметрической начальной загрузки с 500 повторами.</w:t>
      </w:r>
    </w:p>
    <w:p w14:paraId="3F4FFEC3" w14:textId="77777777" w:rsidR="00957261" w:rsidRDefault="00FA74EA" w:rsidP="00957261">
      <w:pPr>
        <w:ind w:firstLine="708"/>
        <w:rPr>
          <w:sz w:val="24"/>
          <w:szCs w:val="24"/>
        </w:rPr>
      </w:pPr>
      <w:r w:rsidRPr="00FA74EA">
        <w:rPr>
          <w:sz w:val="24"/>
          <w:szCs w:val="24"/>
        </w:rPr>
        <w:t xml:space="preserve">Из 34 375 пациентов с диагнозом ВЗК 7 452 (39%) пациентов с БК и 2235 (15%) пациентов с ЯК получали биологические препараты и были включены в анализ. В общей сложности 1139 пациентов с БК и 206 пациентов с ЯК получали биопрепараты в течение первых трех месяцев после постановки диагноза, 2108 пациентов с БК и 450 пациентов с ЯК в течение периода 3-12 месяцев, 1161 человек с </w:t>
      </w:r>
      <w:r w:rsidR="00CD73DA">
        <w:rPr>
          <w:sz w:val="24"/>
          <w:szCs w:val="24"/>
        </w:rPr>
        <w:t>Б</w:t>
      </w:r>
      <w:r w:rsidR="00E83ED2">
        <w:rPr>
          <w:sz w:val="24"/>
          <w:szCs w:val="24"/>
        </w:rPr>
        <w:t>К</w:t>
      </w:r>
      <w:r w:rsidRPr="00FA74EA">
        <w:rPr>
          <w:sz w:val="24"/>
          <w:szCs w:val="24"/>
        </w:rPr>
        <w:t xml:space="preserve"> и 396 пациентов с ЯК</w:t>
      </w:r>
      <w:r w:rsidR="00E83ED2">
        <w:rPr>
          <w:sz w:val="24"/>
          <w:szCs w:val="24"/>
        </w:rPr>
        <w:t xml:space="preserve"> -</w:t>
      </w:r>
      <w:r w:rsidRPr="00FA74EA">
        <w:rPr>
          <w:sz w:val="24"/>
          <w:szCs w:val="24"/>
        </w:rPr>
        <w:t xml:space="preserve"> в течение периода 1-2 лет и 719 пациентов с </w:t>
      </w:r>
      <w:r w:rsidR="00E83ED2">
        <w:rPr>
          <w:sz w:val="24"/>
          <w:szCs w:val="24"/>
        </w:rPr>
        <w:t>БК</w:t>
      </w:r>
      <w:r w:rsidRPr="00FA74EA">
        <w:rPr>
          <w:sz w:val="24"/>
          <w:szCs w:val="24"/>
        </w:rPr>
        <w:t xml:space="preserve"> и 271 человек с ЯК</w:t>
      </w:r>
      <w:r w:rsidR="00951276">
        <w:rPr>
          <w:sz w:val="24"/>
          <w:szCs w:val="24"/>
        </w:rPr>
        <w:t xml:space="preserve"> - </w:t>
      </w:r>
      <w:r w:rsidRPr="00FA74EA">
        <w:rPr>
          <w:sz w:val="24"/>
          <w:szCs w:val="24"/>
        </w:rPr>
        <w:t xml:space="preserve"> в течение 2-3 лет после установления диагноза. </w:t>
      </w:r>
    </w:p>
    <w:p w14:paraId="383E4663" w14:textId="6458AF8A" w:rsidR="00824D99" w:rsidRDefault="00FA74EA" w:rsidP="00957261">
      <w:pPr>
        <w:ind w:firstLine="708"/>
        <w:rPr>
          <w:sz w:val="24"/>
          <w:szCs w:val="24"/>
        </w:rPr>
      </w:pPr>
      <w:r w:rsidRPr="00FA74EA">
        <w:rPr>
          <w:sz w:val="24"/>
          <w:szCs w:val="24"/>
        </w:rPr>
        <w:t>При ЯК не наблюдалось существенных различий в частоте колэктомий через 10 лет между периодами лечения. С другой стороны, значительное снижение</w:t>
      </w:r>
      <w:r w:rsidR="00641165">
        <w:rPr>
          <w:sz w:val="24"/>
          <w:szCs w:val="24"/>
        </w:rPr>
        <w:t xml:space="preserve"> </w:t>
      </w:r>
      <w:r w:rsidR="00A2306B">
        <w:rPr>
          <w:sz w:val="24"/>
          <w:szCs w:val="24"/>
        </w:rPr>
        <w:t>частоты</w:t>
      </w:r>
      <w:r w:rsidRPr="00FA74EA">
        <w:rPr>
          <w:sz w:val="24"/>
          <w:szCs w:val="24"/>
        </w:rPr>
        <w:t xml:space="preserve"> было очевидно для </w:t>
      </w:r>
      <w:r w:rsidR="001C5785">
        <w:rPr>
          <w:sz w:val="24"/>
          <w:szCs w:val="24"/>
        </w:rPr>
        <w:t xml:space="preserve">развития </w:t>
      </w:r>
      <w:r w:rsidRPr="00FA74EA">
        <w:rPr>
          <w:sz w:val="24"/>
          <w:szCs w:val="24"/>
        </w:rPr>
        <w:t>стероидной зависимости</w:t>
      </w:r>
      <w:r w:rsidR="001C5785">
        <w:rPr>
          <w:sz w:val="24"/>
          <w:szCs w:val="24"/>
        </w:rPr>
        <w:t>.</w:t>
      </w:r>
    </w:p>
    <w:p w14:paraId="2D372048" w14:textId="0FDDACEA" w:rsidR="00926D61" w:rsidRDefault="00926D61" w:rsidP="0095726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476B242" wp14:editId="21027558">
            <wp:extent cx="2905125" cy="163413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37" cy="165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306B">
        <w:rPr>
          <w:noProof/>
          <w:sz w:val="24"/>
          <w:szCs w:val="24"/>
          <w:lang w:eastAsia="ru-RU"/>
        </w:rPr>
        <w:drawing>
          <wp:inline distT="0" distB="0" distL="0" distR="0" wp14:anchorId="463F468D" wp14:editId="5F5A37F7">
            <wp:extent cx="2895600" cy="162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11" cy="164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C7789" w14:textId="5E42D784" w:rsidR="00A2306B" w:rsidRDefault="00A2306B" w:rsidP="00957261">
      <w:pPr>
        <w:ind w:firstLine="708"/>
        <w:rPr>
          <w:sz w:val="24"/>
          <w:szCs w:val="24"/>
        </w:rPr>
      </w:pPr>
    </w:p>
    <w:p w14:paraId="30EF82C3" w14:textId="5754F486" w:rsidR="00D669A3" w:rsidRDefault="00D669A3" w:rsidP="00D669A3">
      <w:pPr>
        <w:ind w:firstLine="708"/>
        <w:rPr>
          <w:sz w:val="24"/>
          <w:szCs w:val="24"/>
        </w:rPr>
      </w:pPr>
      <w:r w:rsidRPr="00D669A3">
        <w:rPr>
          <w:sz w:val="24"/>
          <w:szCs w:val="24"/>
        </w:rPr>
        <w:t>ЗАКЛЮЧЕНИЕ</w:t>
      </w:r>
      <w:r w:rsidR="00A124E3">
        <w:rPr>
          <w:sz w:val="24"/>
          <w:szCs w:val="24"/>
        </w:rPr>
        <w:t xml:space="preserve">: </w:t>
      </w:r>
      <w:r w:rsidRPr="00D669A3">
        <w:rPr>
          <w:sz w:val="24"/>
          <w:szCs w:val="24"/>
        </w:rPr>
        <w:t>исследование показало небольшое преимущество</w:t>
      </w:r>
      <w:r w:rsidR="0088197C">
        <w:rPr>
          <w:sz w:val="24"/>
          <w:szCs w:val="24"/>
        </w:rPr>
        <w:t xml:space="preserve"> </w:t>
      </w:r>
      <w:r w:rsidRPr="00D669A3">
        <w:rPr>
          <w:sz w:val="24"/>
          <w:szCs w:val="24"/>
        </w:rPr>
        <w:t>ранн</w:t>
      </w:r>
      <w:r w:rsidR="0088197C">
        <w:rPr>
          <w:sz w:val="24"/>
          <w:szCs w:val="24"/>
        </w:rPr>
        <w:t xml:space="preserve">его </w:t>
      </w:r>
      <w:r w:rsidRPr="00D669A3">
        <w:rPr>
          <w:sz w:val="24"/>
          <w:szCs w:val="24"/>
        </w:rPr>
        <w:t>назначени</w:t>
      </w:r>
      <w:r w:rsidR="0088197C">
        <w:rPr>
          <w:sz w:val="24"/>
          <w:szCs w:val="24"/>
        </w:rPr>
        <w:t>я</w:t>
      </w:r>
      <w:r w:rsidRPr="00D669A3">
        <w:rPr>
          <w:sz w:val="24"/>
          <w:szCs w:val="24"/>
        </w:rPr>
        <w:t xml:space="preserve"> биопрепаратов, что отража</w:t>
      </w:r>
      <w:r w:rsidR="0088197C">
        <w:rPr>
          <w:sz w:val="24"/>
          <w:szCs w:val="24"/>
        </w:rPr>
        <w:t>лось</w:t>
      </w:r>
      <w:r w:rsidRPr="00D669A3">
        <w:rPr>
          <w:sz w:val="24"/>
          <w:szCs w:val="24"/>
        </w:rPr>
        <w:t xml:space="preserve"> в более длительном времени до операции</w:t>
      </w:r>
      <w:r w:rsidR="0088197C">
        <w:rPr>
          <w:sz w:val="24"/>
          <w:szCs w:val="24"/>
        </w:rPr>
        <w:t xml:space="preserve"> </w:t>
      </w:r>
      <w:r w:rsidRPr="00D669A3">
        <w:rPr>
          <w:sz w:val="24"/>
          <w:szCs w:val="24"/>
        </w:rPr>
        <w:t xml:space="preserve">и </w:t>
      </w:r>
      <w:r w:rsidR="0088197C">
        <w:rPr>
          <w:sz w:val="24"/>
          <w:szCs w:val="24"/>
        </w:rPr>
        <w:t>развити</w:t>
      </w:r>
      <w:r w:rsidR="001749E3">
        <w:rPr>
          <w:sz w:val="24"/>
          <w:szCs w:val="24"/>
        </w:rPr>
        <w:t>я</w:t>
      </w:r>
      <w:r w:rsidRPr="00D669A3">
        <w:rPr>
          <w:sz w:val="24"/>
          <w:szCs w:val="24"/>
        </w:rPr>
        <w:t xml:space="preserve"> стероидо</w:t>
      </w:r>
      <w:r w:rsidR="00F346DD">
        <w:rPr>
          <w:sz w:val="24"/>
          <w:szCs w:val="24"/>
        </w:rPr>
        <w:t>зависимости</w:t>
      </w:r>
      <w:r w:rsidR="001749E3">
        <w:rPr>
          <w:sz w:val="24"/>
          <w:szCs w:val="24"/>
        </w:rPr>
        <w:t xml:space="preserve"> </w:t>
      </w:r>
      <w:r w:rsidRPr="00D669A3">
        <w:rPr>
          <w:sz w:val="24"/>
          <w:szCs w:val="24"/>
        </w:rPr>
        <w:t xml:space="preserve">при БК. При ЯК эффект </w:t>
      </w:r>
      <w:r w:rsidR="00A86028" w:rsidRPr="00D669A3">
        <w:rPr>
          <w:sz w:val="24"/>
          <w:szCs w:val="24"/>
        </w:rPr>
        <w:t>ранн</w:t>
      </w:r>
      <w:r w:rsidR="00A86028">
        <w:rPr>
          <w:sz w:val="24"/>
          <w:szCs w:val="24"/>
        </w:rPr>
        <w:t>его назначения</w:t>
      </w:r>
      <w:r w:rsidRPr="00D669A3">
        <w:rPr>
          <w:sz w:val="24"/>
          <w:szCs w:val="24"/>
        </w:rPr>
        <w:t xml:space="preserve"> биопрепаратов был незначительным и проявлялся только в отношении </w:t>
      </w:r>
      <w:r w:rsidR="00C80C67">
        <w:rPr>
          <w:sz w:val="24"/>
          <w:szCs w:val="24"/>
        </w:rPr>
        <w:t xml:space="preserve">скорости </w:t>
      </w:r>
      <w:r w:rsidR="00A86028">
        <w:rPr>
          <w:sz w:val="24"/>
          <w:szCs w:val="24"/>
        </w:rPr>
        <w:t xml:space="preserve">развития </w:t>
      </w:r>
      <w:r w:rsidRPr="00D669A3">
        <w:rPr>
          <w:sz w:val="24"/>
          <w:szCs w:val="24"/>
        </w:rPr>
        <w:t>стероидной зависимости.</w:t>
      </w:r>
    </w:p>
    <w:p w14:paraId="40AE67EE" w14:textId="77777777" w:rsidR="00AC311F" w:rsidRDefault="00AC311F" w:rsidP="00D669A3">
      <w:pPr>
        <w:ind w:firstLine="708"/>
        <w:rPr>
          <w:sz w:val="24"/>
          <w:szCs w:val="24"/>
        </w:rPr>
      </w:pPr>
    </w:p>
    <w:p w14:paraId="31D50C60" w14:textId="77777777" w:rsidR="00C80C67" w:rsidRDefault="00C80C67" w:rsidP="00B740F1">
      <w:pPr>
        <w:ind w:firstLine="708"/>
        <w:rPr>
          <w:sz w:val="24"/>
          <w:szCs w:val="24"/>
        </w:rPr>
      </w:pPr>
    </w:p>
    <w:p w14:paraId="791DAF50" w14:textId="0BBF4655" w:rsidR="007428CA" w:rsidRPr="00EA293D" w:rsidRDefault="00543712" w:rsidP="00606922">
      <w:pPr>
        <w:ind w:firstLine="708"/>
        <w:rPr>
          <w:b/>
          <w:bCs/>
          <w:color w:val="4F81BD" w:themeColor="accent1"/>
          <w:sz w:val="32"/>
          <w:szCs w:val="32"/>
        </w:rPr>
      </w:pPr>
      <w:r w:rsidRPr="00EA293D">
        <w:rPr>
          <w:b/>
          <w:bCs/>
          <w:color w:val="4F81BD" w:themeColor="accent1"/>
          <w:sz w:val="32"/>
          <w:szCs w:val="32"/>
        </w:rPr>
        <w:t xml:space="preserve">DOP54 Время до достижения эффекта биопрепаратов и </w:t>
      </w:r>
      <w:r w:rsidR="007428CA" w:rsidRPr="00EA293D">
        <w:rPr>
          <w:b/>
          <w:bCs/>
          <w:color w:val="4F81BD" w:themeColor="accent1"/>
          <w:sz w:val="32"/>
          <w:szCs w:val="32"/>
        </w:rPr>
        <w:t>малых молекул</w:t>
      </w:r>
      <w:r w:rsidRPr="00EA293D">
        <w:rPr>
          <w:b/>
          <w:bCs/>
          <w:color w:val="4F81BD" w:themeColor="accent1"/>
          <w:sz w:val="32"/>
          <w:szCs w:val="32"/>
        </w:rPr>
        <w:t xml:space="preserve"> у пациентов с активной болезнью Крона — систематический обзор и сетевой метаанализ</w:t>
      </w:r>
      <w:r w:rsidR="007137CB" w:rsidRPr="00EA293D">
        <w:rPr>
          <w:b/>
          <w:bCs/>
          <w:color w:val="4F81BD" w:themeColor="accent1"/>
          <w:sz w:val="32"/>
          <w:szCs w:val="32"/>
        </w:rPr>
        <w:t>.</w:t>
      </w:r>
    </w:p>
    <w:p w14:paraId="649A71CE" w14:textId="61F2A616" w:rsidR="007137CB" w:rsidRPr="00062496" w:rsidRDefault="007137CB" w:rsidP="00606922">
      <w:pPr>
        <w:ind w:firstLine="708"/>
        <w:rPr>
          <w:lang w:val="en-US"/>
        </w:rPr>
      </w:pPr>
      <w:r w:rsidRPr="00062496">
        <w:rPr>
          <w:lang w:val="en-US"/>
        </w:rPr>
        <w:t>Attauabi, M.</w:t>
      </w:r>
      <w:r w:rsidR="00062496" w:rsidRPr="00062496">
        <w:rPr>
          <w:lang w:val="en-US"/>
        </w:rPr>
        <w:t xml:space="preserve">, </w:t>
      </w:r>
      <w:r w:rsidRPr="00062496">
        <w:rPr>
          <w:lang w:val="en-US"/>
        </w:rPr>
        <w:t>Steenholdt, C.;</w:t>
      </w:r>
      <w:r w:rsidR="00062496" w:rsidRPr="00062496">
        <w:rPr>
          <w:lang w:val="en-US"/>
        </w:rPr>
        <w:t xml:space="preserve"> </w:t>
      </w:r>
      <w:r w:rsidRPr="00062496">
        <w:rPr>
          <w:lang w:val="en-US"/>
        </w:rPr>
        <w:t>Burisch, J.;</w:t>
      </w:r>
      <w:r w:rsidR="00062496" w:rsidRPr="00062496">
        <w:rPr>
          <w:lang w:val="en-US"/>
        </w:rPr>
        <w:t xml:space="preserve"> </w:t>
      </w:r>
      <w:r w:rsidRPr="00062496">
        <w:rPr>
          <w:lang w:val="en-US"/>
        </w:rPr>
        <w:t>Gubatan, J.;</w:t>
      </w:r>
      <w:r w:rsidR="00062496" w:rsidRPr="00062496">
        <w:rPr>
          <w:lang w:val="en-US"/>
        </w:rPr>
        <w:t xml:space="preserve"> </w:t>
      </w:r>
      <w:r w:rsidRPr="00062496">
        <w:rPr>
          <w:lang w:val="en-US"/>
        </w:rPr>
        <w:t>Nielsen, O.H.;</w:t>
      </w:r>
      <w:r w:rsidR="00062496" w:rsidRPr="00062496">
        <w:rPr>
          <w:lang w:val="en-US"/>
        </w:rPr>
        <w:t xml:space="preserve"> </w:t>
      </w:r>
      <w:r w:rsidRPr="00062496">
        <w:rPr>
          <w:lang w:val="en-US"/>
        </w:rPr>
        <w:t>Seidelin, J.B.</w:t>
      </w:r>
    </w:p>
    <w:p w14:paraId="0EEF529D" w14:textId="2B51E09A" w:rsidR="00606922" w:rsidRPr="00606922" w:rsidRDefault="005D521E" w:rsidP="005D521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 анализ включено </w:t>
      </w:r>
      <w:r w:rsidR="00606922" w:rsidRPr="00606922">
        <w:rPr>
          <w:sz w:val="24"/>
          <w:szCs w:val="24"/>
        </w:rPr>
        <w:t>61 исследование,</w:t>
      </w:r>
      <w:r>
        <w:rPr>
          <w:sz w:val="24"/>
          <w:szCs w:val="24"/>
        </w:rPr>
        <w:t xml:space="preserve"> </w:t>
      </w:r>
      <w:r w:rsidR="00606922" w:rsidRPr="00606922">
        <w:rPr>
          <w:sz w:val="24"/>
          <w:szCs w:val="24"/>
        </w:rPr>
        <w:t>17 436 пациент</w:t>
      </w:r>
      <w:r>
        <w:rPr>
          <w:sz w:val="24"/>
          <w:szCs w:val="24"/>
        </w:rPr>
        <w:t xml:space="preserve">ов. </w:t>
      </w:r>
      <w:r w:rsidR="00606922" w:rsidRPr="00606922">
        <w:rPr>
          <w:sz w:val="24"/>
          <w:szCs w:val="24"/>
        </w:rPr>
        <w:t xml:space="preserve">Адалимумаб 160/80 мг, адалимумаб 80/40 мг и цертолизумаб 400 мг оценивали в отношении индукции ответа CDAI-70 и CDAI-100 на 2-й неделе, и все они превосходили плацебо. Кроме того, данные по упадацитинибу в дозе 45 мг один раз в сутки, ведолизумабу в дозе 300 мг и устекинумабу в дозе 6 мг/кг были представлены для </w:t>
      </w:r>
      <w:r w:rsidR="00606922" w:rsidRPr="00606922">
        <w:rPr>
          <w:sz w:val="24"/>
          <w:szCs w:val="24"/>
        </w:rPr>
        <w:lastRenderedPageBreak/>
        <w:t>ответа CDAI-100 на 2-й неделе, причем первый из них получил наивысшую оценку, а второй — самую низкую. Следует отметить, что ведолизумаб в дозе 300 мг не достиг статистического превосходства по сравнению с плацебо. Однако статистически значимой разницы между</w:t>
      </w:r>
      <w:r w:rsidR="00CA3C9C">
        <w:rPr>
          <w:sz w:val="24"/>
          <w:szCs w:val="24"/>
        </w:rPr>
        <w:t xml:space="preserve"> препаратами </w:t>
      </w:r>
      <w:r w:rsidR="00606922" w:rsidRPr="00606922">
        <w:rPr>
          <w:sz w:val="24"/>
          <w:szCs w:val="24"/>
        </w:rPr>
        <w:t>обнаружено не было.</w:t>
      </w:r>
    </w:p>
    <w:p w14:paraId="0E411693" w14:textId="4B71114A" w:rsidR="00606922" w:rsidRPr="00606922" w:rsidRDefault="00EA293D" w:rsidP="00606922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D8242C9" wp14:editId="2752C2B8">
            <wp:extent cx="4277360" cy="2586623"/>
            <wp:effectExtent l="0" t="0" r="889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96" cy="259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69E80" w14:textId="1C949E10" w:rsidR="00C80C67" w:rsidRDefault="00606922" w:rsidP="00606922">
      <w:pPr>
        <w:ind w:firstLine="708"/>
        <w:rPr>
          <w:sz w:val="24"/>
          <w:szCs w:val="24"/>
        </w:rPr>
      </w:pPr>
      <w:r w:rsidRPr="00606922">
        <w:rPr>
          <w:sz w:val="24"/>
          <w:szCs w:val="24"/>
        </w:rPr>
        <w:t>Кроме того, биоаналог в дозе 160/80 мг и адалимумаб в дозе 160/80 мг получили наивысшие оценки и превосходили филготиниб в дозе 200 мг в отношении достижения ремиссии CDAI на 2-й неделе (рис. 2). Последний занимал самое низкое место и вместе с ведолизумабом в дозе 300 мг не превосходил плацебо по достижению ремиссии CDAI на 2-й неделе (рис. 2). Результаты анализа для бионаивных пациентов и пациентов</w:t>
      </w:r>
      <w:r w:rsidR="000B1D75">
        <w:rPr>
          <w:sz w:val="24"/>
          <w:szCs w:val="24"/>
        </w:rPr>
        <w:t xml:space="preserve"> с ГИБП в анамнезе</w:t>
      </w:r>
      <w:r w:rsidRPr="00606922">
        <w:rPr>
          <w:sz w:val="24"/>
          <w:szCs w:val="24"/>
        </w:rPr>
        <w:t xml:space="preserve"> были одинаковыми. Тем не менее, в анализе чувствительности эффективности на 4-й неделе у пациентов, подвергшихся биологическому воздействию, устекинумаб в дозе 6 мг/кг</w:t>
      </w:r>
      <w:r w:rsidR="002D2020">
        <w:rPr>
          <w:sz w:val="24"/>
          <w:szCs w:val="24"/>
        </w:rPr>
        <w:t xml:space="preserve"> показал самый высокий </w:t>
      </w:r>
      <w:r w:rsidRPr="00606922">
        <w:rPr>
          <w:sz w:val="24"/>
          <w:szCs w:val="24"/>
        </w:rPr>
        <w:t>ответ</w:t>
      </w:r>
      <w:r w:rsidR="002D2020">
        <w:rPr>
          <w:sz w:val="24"/>
          <w:szCs w:val="24"/>
        </w:rPr>
        <w:t xml:space="preserve"> по </w:t>
      </w:r>
      <w:r w:rsidRPr="00606922">
        <w:rPr>
          <w:sz w:val="24"/>
          <w:szCs w:val="24"/>
        </w:rPr>
        <w:t>CDAI-70</w:t>
      </w:r>
      <w:r w:rsidR="002D2020">
        <w:rPr>
          <w:sz w:val="24"/>
          <w:szCs w:val="24"/>
        </w:rPr>
        <w:t xml:space="preserve"> и</w:t>
      </w:r>
      <w:r w:rsidRPr="00606922">
        <w:rPr>
          <w:sz w:val="24"/>
          <w:szCs w:val="24"/>
        </w:rPr>
        <w:t xml:space="preserve"> CDAI-100</w:t>
      </w:r>
      <w:r w:rsidR="002D2020">
        <w:rPr>
          <w:sz w:val="24"/>
          <w:szCs w:val="24"/>
        </w:rPr>
        <w:t>.</w:t>
      </w:r>
    </w:p>
    <w:p w14:paraId="3F6AF083" w14:textId="2FB34BB5" w:rsidR="00EF3599" w:rsidRDefault="00EF3599" w:rsidP="00EF3599">
      <w:pPr>
        <w:ind w:firstLine="708"/>
        <w:rPr>
          <w:sz w:val="24"/>
          <w:szCs w:val="24"/>
        </w:rPr>
      </w:pPr>
      <w:r w:rsidRPr="00EF3599">
        <w:rPr>
          <w:sz w:val="24"/>
          <w:szCs w:val="24"/>
        </w:rPr>
        <w:t>ЗАКЛЮЧЕНИЕ</w:t>
      </w:r>
      <w:r>
        <w:rPr>
          <w:sz w:val="24"/>
          <w:szCs w:val="24"/>
        </w:rPr>
        <w:t>.</w:t>
      </w:r>
      <w:r w:rsidR="00543712">
        <w:rPr>
          <w:sz w:val="24"/>
          <w:szCs w:val="24"/>
        </w:rPr>
        <w:t xml:space="preserve"> </w:t>
      </w:r>
      <w:r w:rsidRPr="00EF3599">
        <w:rPr>
          <w:sz w:val="24"/>
          <w:szCs w:val="24"/>
        </w:rPr>
        <w:t>В этом сетевом мета-анализе</w:t>
      </w:r>
      <w:r w:rsidR="002B1CD6">
        <w:rPr>
          <w:sz w:val="24"/>
          <w:szCs w:val="24"/>
        </w:rPr>
        <w:t xml:space="preserve"> продемонстрировано</w:t>
      </w:r>
      <w:r w:rsidRPr="00EF3599">
        <w:rPr>
          <w:sz w:val="24"/>
          <w:szCs w:val="24"/>
        </w:rPr>
        <w:t>, что адалимумаб 160/80 мг и упадацитиниб 45 мг являются предпочтительными препаратами для быстрой индукции клинического ответа и клинической ремиссии на 2-й неделе, в то время как ведолизумаб 300 мг, филготиниб 200 мг и устекинумаб 6 мг/кг могут иметь относительно более медленное начало действия в этой популяции пациентов.</w:t>
      </w:r>
    </w:p>
    <w:p w14:paraId="779A0055" w14:textId="77777777" w:rsidR="00B740F1" w:rsidRPr="00B740F1" w:rsidRDefault="00B740F1" w:rsidP="006829B9">
      <w:pPr>
        <w:rPr>
          <w:sz w:val="24"/>
          <w:szCs w:val="24"/>
        </w:rPr>
      </w:pPr>
    </w:p>
    <w:p w14:paraId="771E849B" w14:textId="77777777" w:rsidR="00B740F1" w:rsidRDefault="00B740F1" w:rsidP="00B740F1">
      <w:pPr>
        <w:ind w:firstLine="708"/>
        <w:rPr>
          <w:sz w:val="24"/>
          <w:szCs w:val="24"/>
        </w:rPr>
      </w:pPr>
    </w:p>
    <w:p w14:paraId="2D0976CB" w14:textId="77777777" w:rsidR="00863E25" w:rsidRDefault="00863E25" w:rsidP="00B740F1">
      <w:pPr>
        <w:ind w:firstLine="708"/>
        <w:rPr>
          <w:b/>
          <w:bCs/>
          <w:color w:val="4F81BD" w:themeColor="accent1"/>
          <w:sz w:val="32"/>
          <w:szCs w:val="32"/>
        </w:rPr>
      </w:pPr>
    </w:p>
    <w:p w14:paraId="78980D8B" w14:textId="11F7CC7B" w:rsidR="00A30F19" w:rsidRDefault="00A30F19" w:rsidP="00D31E57">
      <w:pPr>
        <w:ind w:firstLine="708"/>
        <w:rPr>
          <w:b/>
          <w:bCs/>
          <w:color w:val="4F81BD" w:themeColor="accent1"/>
          <w:sz w:val="32"/>
          <w:szCs w:val="32"/>
        </w:rPr>
      </w:pPr>
      <w:r w:rsidRPr="003E3F69">
        <w:rPr>
          <w:b/>
          <w:bCs/>
          <w:color w:val="4F81BD" w:themeColor="accent1"/>
          <w:sz w:val="32"/>
          <w:szCs w:val="32"/>
        </w:rPr>
        <w:t>DOP15 Ультразвуковое исследование кишечника коррелирует с колоноскопией и биомаркерами и может использоваться в рамках мониторинга для оценки ответа на терапию при болезни Крона</w:t>
      </w:r>
      <w:r w:rsidR="00645928" w:rsidRPr="003E3F69">
        <w:rPr>
          <w:b/>
          <w:bCs/>
          <w:color w:val="4F81BD" w:themeColor="accent1"/>
          <w:sz w:val="32"/>
          <w:szCs w:val="32"/>
        </w:rPr>
        <w:t>.</w:t>
      </w:r>
    </w:p>
    <w:p w14:paraId="5AA1EACF" w14:textId="1709E1AB" w:rsidR="00E72AD1" w:rsidRPr="00E72AD1" w:rsidRDefault="00E72AD1" w:rsidP="00D31E57">
      <w:pPr>
        <w:ind w:firstLine="708"/>
        <w:rPr>
          <w:lang w:val="en-US"/>
        </w:rPr>
      </w:pPr>
      <w:r w:rsidRPr="00E72AD1">
        <w:rPr>
          <w:lang w:val="en-US"/>
        </w:rPr>
        <w:t>Morão, B.; Revés, J.; Nascimento, C.); Frias Gomes, C.; Cúrdia Gonçalves, T.</w:t>
      </w:r>
      <w:r>
        <w:rPr>
          <w:lang w:val="en-US"/>
        </w:rPr>
        <w:t>et al.</w:t>
      </w:r>
    </w:p>
    <w:p w14:paraId="395AF8A4" w14:textId="11240E08" w:rsidR="00D31E57" w:rsidRPr="00D31E57" w:rsidRDefault="00D31E57" w:rsidP="00D31E57">
      <w:pPr>
        <w:ind w:firstLine="708"/>
        <w:rPr>
          <w:sz w:val="24"/>
          <w:szCs w:val="24"/>
        </w:rPr>
      </w:pPr>
      <w:r w:rsidRPr="00D31E57">
        <w:rPr>
          <w:sz w:val="24"/>
          <w:szCs w:val="24"/>
        </w:rPr>
        <w:t>Проспективное многоцентровое когортное исследование пациентов с активн</w:t>
      </w:r>
      <w:r w:rsidR="00B85E73">
        <w:rPr>
          <w:sz w:val="24"/>
          <w:szCs w:val="24"/>
        </w:rPr>
        <w:t>ой</w:t>
      </w:r>
      <w:r w:rsidRPr="00D31E57">
        <w:rPr>
          <w:sz w:val="24"/>
          <w:szCs w:val="24"/>
        </w:rPr>
        <w:t xml:space="preserve"> БК, нач</w:t>
      </w:r>
      <w:r w:rsidR="0005710C">
        <w:rPr>
          <w:sz w:val="24"/>
          <w:szCs w:val="24"/>
        </w:rPr>
        <w:t xml:space="preserve">авших </w:t>
      </w:r>
      <w:r w:rsidR="00B85E73">
        <w:rPr>
          <w:sz w:val="24"/>
          <w:szCs w:val="24"/>
        </w:rPr>
        <w:t xml:space="preserve">терапию </w:t>
      </w:r>
      <w:r w:rsidRPr="00D31E57">
        <w:rPr>
          <w:sz w:val="24"/>
          <w:szCs w:val="24"/>
        </w:rPr>
        <w:t>И</w:t>
      </w:r>
      <w:r w:rsidR="00B85E73">
        <w:rPr>
          <w:sz w:val="24"/>
          <w:szCs w:val="24"/>
        </w:rPr>
        <w:t>НФ</w:t>
      </w:r>
      <w:r w:rsidRPr="00D31E57">
        <w:rPr>
          <w:sz w:val="24"/>
          <w:szCs w:val="24"/>
        </w:rPr>
        <w:t xml:space="preserve">. Индекс Харви-Брэдшоу (HBI), С-реактивный белок (CRP), фекальный кальпротектин (FC) и </w:t>
      </w:r>
      <w:r w:rsidR="0013290B">
        <w:rPr>
          <w:sz w:val="24"/>
          <w:szCs w:val="24"/>
        </w:rPr>
        <w:t>тол</w:t>
      </w:r>
      <w:r w:rsidR="00493DA6">
        <w:rPr>
          <w:sz w:val="24"/>
          <w:szCs w:val="24"/>
        </w:rPr>
        <w:t>щину кишечной стенки (</w:t>
      </w:r>
      <w:r w:rsidRPr="00D31E57">
        <w:rPr>
          <w:sz w:val="24"/>
          <w:szCs w:val="24"/>
        </w:rPr>
        <w:t>В</w:t>
      </w:r>
      <w:r w:rsidR="00493DA6">
        <w:rPr>
          <w:sz w:val="24"/>
          <w:szCs w:val="24"/>
          <w:lang w:val="en-US"/>
        </w:rPr>
        <w:t>WT</w:t>
      </w:r>
      <w:r w:rsidR="00493DA6" w:rsidRPr="00493DA6">
        <w:rPr>
          <w:sz w:val="24"/>
          <w:szCs w:val="24"/>
        </w:rPr>
        <w:t xml:space="preserve">) </w:t>
      </w:r>
      <w:r w:rsidRPr="00D31E57">
        <w:rPr>
          <w:sz w:val="24"/>
          <w:szCs w:val="24"/>
        </w:rPr>
        <w:t xml:space="preserve">определяли на 0, 14, 30 и 54 неделе. Илеоколоноскопию выполняли на </w:t>
      </w:r>
      <w:r w:rsidR="00F54EAA">
        <w:rPr>
          <w:sz w:val="24"/>
          <w:szCs w:val="24"/>
        </w:rPr>
        <w:t xml:space="preserve">неделях </w:t>
      </w:r>
      <w:r w:rsidRPr="00D31E57">
        <w:rPr>
          <w:sz w:val="24"/>
          <w:szCs w:val="24"/>
        </w:rPr>
        <w:t xml:space="preserve">0 и 54. </w:t>
      </w:r>
      <w:r w:rsidR="00481B87">
        <w:rPr>
          <w:sz w:val="24"/>
          <w:szCs w:val="24"/>
        </w:rPr>
        <w:t>У</w:t>
      </w:r>
      <w:r w:rsidRPr="00D31E57">
        <w:rPr>
          <w:sz w:val="24"/>
          <w:szCs w:val="24"/>
        </w:rPr>
        <w:t xml:space="preserve">ровни </w:t>
      </w:r>
      <w:r w:rsidR="00481B87">
        <w:rPr>
          <w:sz w:val="24"/>
          <w:szCs w:val="24"/>
        </w:rPr>
        <w:t>ИНФ</w:t>
      </w:r>
      <w:r w:rsidRPr="00D31E57">
        <w:rPr>
          <w:sz w:val="24"/>
          <w:szCs w:val="24"/>
        </w:rPr>
        <w:t xml:space="preserve"> измеряли на </w:t>
      </w:r>
      <w:r w:rsidR="00481B87">
        <w:rPr>
          <w:sz w:val="24"/>
          <w:szCs w:val="24"/>
        </w:rPr>
        <w:t>неделях</w:t>
      </w:r>
      <w:r w:rsidR="00275D18">
        <w:rPr>
          <w:sz w:val="24"/>
          <w:szCs w:val="24"/>
        </w:rPr>
        <w:t xml:space="preserve"> </w:t>
      </w:r>
      <w:r w:rsidRPr="00D31E57">
        <w:rPr>
          <w:sz w:val="24"/>
          <w:szCs w:val="24"/>
        </w:rPr>
        <w:t xml:space="preserve">14, 30 и 54. Клиническая ремиссия  </w:t>
      </w:r>
      <w:r w:rsidRPr="00D31E57">
        <w:rPr>
          <w:sz w:val="24"/>
          <w:szCs w:val="24"/>
        </w:rPr>
        <w:lastRenderedPageBreak/>
        <w:t xml:space="preserve">определялась как HBI&lt;5, а лабораторная ремиссия – как CRP &lt;0,5 мг/дл и FC &lt;150 мкг/г. </w:t>
      </w:r>
      <w:r w:rsidR="002B45E4">
        <w:rPr>
          <w:sz w:val="24"/>
          <w:szCs w:val="24"/>
        </w:rPr>
        <w:t xml:space="preserve">Ответ по </w:t>
      </w:r>
      <w:r w:rsidRPr="00D31E57">
        <w:rPr>
          <w:sz w:val="24"/>
          <w:szCs w:val="24"/>
        </w:rPr>
        <w:t>В</w:t>
      </w:r>
      <w:r w:rsidR="00FA3B7A">
        <w:rPr>
          <w:sz w:val="24"/>
          <w:szCs w:val="24"/>
          <w:lang w:val="en-US"/>
        </w:rPr>
        <w:t>WT</w:t>
      </w:r>
      <w:r w:rsidRPr="00D31E57">
        <w:rPr>
          <w:sz w:val="24"/>
          <w:szCs w:val="24"/>
        </w:rPr>
        <w:t xml:space="preserve"> определялась как уменьшение &gt;25% толщины стенки кишечника, а ремиссия </w:t>
      </w:r>
      <w:r w:rsidR="002B45E4" w:rsidRPr="002B45E4">
        <w:rPr>
          <w:sz w:val="24"/>
          <w:szCs w:val="24"/>
        </w:rPr>
        <w:t>по ВWT</w:t>
      </w:r>
      <w:r w:rsidRPr="00D31E57">
        <w:rPr>
          <w:sz w:val="24"/>
          <w:szCs w:val="24"/>
        </w:rPr>
        <w:t xml:space="preserve"> – как нормализация </w:t>
      </w:r>
      <w:r w:rsidR="002B45E4">
        <w:rPr>
          <w:sz w:val="24"/>
          <w:szCs w:val="24"/>
        </w:rPr>
        <w:t>толщины</w:t>
      </w:r>
      <w:r w:rsidRPr="00D31E57">
        <w:rPr>
          <w:sz w:val="24"/>
          <w:szCs w:val="24"/>
        </w:rPr>
        <w:t xml:space="preserve"> (≤3 мм), цветового допплеровского признака (CDS≤1), расслоения стенки и воспалительного жира. Шкала IBUS-SAS использовалась для оценки активности заболевания и включала BWT, допплеровский признак, стратификацию и воспалительный жир. Эндоскопический ответ определяли как 50% снижение SES-CD в наиболее пораженном сегменте, а эндоскопическое заживление - как общее SES-CD &lt;3.</w:t>
      </w:r>
    </w:p>
    <w:p w14:paraId="7B325D38" w14:textId="28E75CCC" w:rsidR="00D31E57" w:rsidRDefault="00D31E57" w:rsidP="003A36AE">
      <w:pPr>
        <w:rPr>
          <w:sz w:val="24"/>
          <w:szCs w:val="24"/>
        </w:rPr>
      </w:pPr>
      <w:r w:rsidRPr="00D31E57">
        <w:rPr>
          <w:sz w:val="24"/>
          <w:szCs w:val="24"/>
        </w:rPr>
        <w:t>ПОЛУЧЕННЫЕ РЕЗУЛЬТАТЫ</w:t>
      </w:r>
      <w:r w:rsidR="003A36AE">
        <w:rPr>
          <w:sz w:val="24"/>
          <w:szCs w:val="24"/>
        </w:rPr>
        <w:t xml:space="preserve">. </w:t>
      </w:r>
      <w:r w:rsidRPr="00D31E57">
        <w:rPr>
          <w:sz w:val="24"/>
          <w:szCs w:val="24"/>
        </w:rPr>
        <w:t>В исследование были включены 62 пациента с БК (50% мужчины; средний возраст 36±15 лет)</w:t>
      </w:r>
      <w:r w:rsidR="009C3296">
        <w:rPr>
          <w:sz w:val="24"/>
          <w:szCs w:val="24"/>
        </w:rPr>
        <w:t xml:space="preserve">. </w:t>
      </w:r>
      <w:r w:rsidRPr="00D31E57">
        <w:rPr>
          <w:sz w:val="24"/>
          <w:szCs w:val="24"/>
        </w:rPr>
        <w:t xml:space="preserve">После начала терапии наблюдалась положительная динамика всех оцениваемых параметров; Ответ </w:t>
      </w:r>
      <w:r w:rsidR="000F3623" w:rsidRPr="000F3623">
        <w:rPr>
          <w:sz w:val="24"/>
          <w:szCs w:val="24"/>
        </w:rPr>
        <w:t xml:space="preserve">по ВWT </w:t>
      </w:r>
      <w:r w:rsidRPr="00D31E57">
        <w:rPr>
          <w:sz w:val="24"/>
          <w:szCs w:val="24"/>
        </w:rPr>
        <w:t>и ремиссия постепенно увеличивались от исходного уровня до 54-й недели</w:t>
      </w:r>
      <w:r w:rsidR="002619F4">
        <w:rPr>
          <w:sz w:val="24"/>
          <w:szCs w:val="24"/>
        </w:rPr>
        <w:t xml:space="preserve">. </w:t>
      </w:r>
      <w:r w:rsidRPr="00D31E57">
        <w:rPr>
          <w:sz w:val="24"/>
          <w:szCs w:val="24"/>
        </w:rPr>
        <w:t>Бы</w:t>
      </w:r>
      <w:r w:rsidR="00F2047D">
        <w:rPr>
          <w:sz w:val="24"/>
          <w:szCs w:val="24"/>
        </w:rPr>
        <w:t>ла выявлена корреляция</w:t>
      </w:r>
      <w:r w:rsidRPr="00D31E57">
        <w:rPr>
          <w:sz w:val="24"/>
          <w:szCs w:val="24"/>
        </w:rPr>
        <w:t xml:space="preserve"> между В</w:t>
      </w:r>
      <w:r w:rsidR="00F2047D">
        <w:rPr>
          <w:sz w:val="24"/>
          <w:szCs w:val="24"/>
          <w:lang w:val="en-US"/>
        </w:rPr>
        <w:t>WT</w:t>
      </w:r>
      <w:r w:rsidRPr="00D31E57">
        <w:rPr>
          <w:sz w:val="24"/>
          <w:szCs w:val="24"/>
        </w:rPr>
        <w:t xml:space="preserve"> и колоноскопией для оценки наиболее пораженного сегмента на исходном уровне (каппа 0,788, р&lt;0,001). Во всех временных точках корреляция между ультразвуковыми параметрами (BWT, CDS и IBUS-SAS) и лабораторными биомаркерами (особенно фекальным кальпротектином) была достоверной или умеренной. После индукции (неделя 14) также наблюдалась четкая корреляция между IBUS-SAS и </w:t>
      </w:r>
      <w:r w:rsidR="003B1E7C">
        <w:rPr>
          <w:sz w:val="24"/>
          <w:szCs w:val="24"/>
        </w:rPr>
        <w:t>уровнем ИНФ</w:t>
      </w:r>
      <w:r w:rsidRPr="00D31E57">
        <w:rPr>
          <w:sz w:val="24"/>
          <w:szCs w:val="24"/>
        </w:rPr>
        <w:t xml:space="preserve"> (r = -0,277, p = 0,034).</w:t>
      </w:r>
    </w:p>
    <w:p w14:paraId="481E1C71" w14:textId="62B0F8F4" w:rsidR="0048112C" w:rsidRPr="00D31E57" w:rsidRDefault="0048112C" w:rsidP="003A36A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4E91EFE" wp14:editId="1671C10A">
            <wp:extent cx="3474164" cy="2619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39" cy="2639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F28F9" w14:textId="77777777" w:rsidR="00D31E57" w:rsidRPr="00D31E57" w:rsidRDefault="00D31E57" w:rsidP="00D31E57">
      <w:pPr>
        <w:ind w:firstLine="708"/>
        <w:rPr>
          <w:sz w:val="24"/>
          <w:szCs w:val="24"/>
        </w:rPr>
      </w:pPr>
    </w:p>
    <w:p w14:paraId="45D9435E" w14:textId="75C4C66A" w:rsidR="00863E25" w:rsidRPr="00D31E57" w:rsidRDefault="00D31E57" w:rsidP="00EE1D6E">
      <w:pPr>
        <w:rPr>
          <w:sz w:val="24"/>
          <w:szCs w:val="24"/>
        </w:rPr>
      </w:pPr>
      <w:r w:rsidRPr="00D31E57">
        <w:rPr>
          <w:sz w:val="24"/>
          <w:szCs w:val="24"/>
        </w:rPr>
        <w:t>ЗАКЛЮЧЕНИ</w:t>
      </w:r>
      <w:r w:rsidR="003B1E7C">
        <w:rPr>
          <w:sz w:val="24"/>
          <w:szCs w:val="24"/>
        </w:rPr>
        <w:t>Е</w:t>
      </w:r>
      <w:r w:rsidR="00EE1D6E">
        <w:rPr>
          <w:sz w:val="24"/>
          <w:szCs w:val="24"/>
        </w:rPr>
        <w:t xml:space="preserve">. </w:t>
      </w:r>
      <w:r w:rsidR="003E11F6">
        <w:rPr>
          <w:sz w:val="24"/>
          <w:szCs w:val="24"/>
        </w:rPr>
        <w:t>О</w:t>
      </w:r>
      <w:r w:rsidRPr="00D31E57">
        <w:rPr>
          <w:sz w:val="24"/>
          <w:szCs w:val="24"/>
        </w:rPr>
        <w:t>бнаруж</w:t>
      </w:r>
      <w:r w:rsidR="003E11F6">
        <w:rPr>
          <w:sz w:val="24"/>
          <w:szCs w:val="24"/>
        </w:rPr>
        <w:t>ена</w:t>
      </w:r>
      <w:r w:rsidRPr="00D31E57">
        <w:rPr>
          <w:sz w:val="24"/>
          <w:szCs w:val="24"/>
        </w:rPr>
        <w:t xml:space="preserve"> значительн</w:t>
      </w:r>
      <w:r w:rsidR="003E11F6">
        <w:rPr>
          <w:sz w:val="24"/>
          <w:szCs w:val="24"/>
        </w:rPr>
        <w:t>ая</w:t>
      </w:r>
      <w:r w:rsidRPr="00D31E57">
        <w:rPr>
          <w:sz w:val="24"/>
          <w:szCs w:val="24"/>
        </w:rPr>
        <w:t xml:space="preserve"> или умеренн</w:t>
      </w:r>
      <w:r w:rsidR="003E11F6">
        <w:rPr>
          <w:sz w:val="24"/>
          <w:szCs w:val="24"/>
        </w:rPr>
        <w:t>ая</w:t>
      </w:r>
      <w:r w:rsidRPr="00D31E57">
        <w:rPr>
          <w:sz w:val="24"/>
          <w:szCs w:val="24"/>
        </w:rPr>
        <w:t xml:space="preserve"> корреляцию между параметрами </w:t>
      </w:r>
      <w:r w:rsidR="006A0157">
        <w:rPr>
          <w:sz w:val="24"/>
          <w:szCs w:val="24"/>
          <w:lang w:val="en-US"/>
        </w:rPr>
        <w:t>BWT</w:t>
      </w:r>
      <w:r w:rsidRPr="00D31E57">
        <w:rPr>
          <w:sz w:val="24"/>
          <w:szCs w:val="24"/>
        </w:rPr>
        <w:t xml:space="preserve"> и лабораторными и эндоскопическими параметрами в течение первого года терапии инфликсимабом. </w:t>
      </w:r>
      <w:r w:rsidR="005C27BF">
        <w:rPr>
          <w:sz w:val="24"/>
          <w:szCs w:val="24"/>
        </w:rPr>
        <w:t xml:space="preserve">Динамику </w:t>
      </w:r>
      <w:r w:rsidR="00FF7FDC">
        <w:rPr>
          <w:sz w:val="24"/>
          <w:szCs w:val="24"/>
        </w:rPr>
        <w:t>изменения</w:t>
      </w:r>
      <w:r w:rsidR="005C27BF">
        <w:rPr>
          <w:sz w:val="24"/>
          <w:szCs w:val="24"/>
        </w:rPr>
        <w:t xml:space="preserve"> толщины кишечной </w:t>
      </w:r>
      <w:r w:rsidR="00FF7FDC">
        <w:rPr>
          <w:sz w:val="24"/>
          <w:szCs w:val="24"/>
        </w:rPr>
        <w:t>стенки</w:t>
      </w:r>
      <w:r w:rsidRPr="00D31E57">
        <w:rPr>
          <w:sz w:val="24"/>
          <w:szCs w:val="24"/>
        </w:rPr>
        <w:t xml:space="preserve"> можно надежно использовать для долгосрочного мониторинга активности заболевания в рамках стратегии тщательного мониторинга.</w:t>
      </w:r>
    </w:p>
    <w:p w14:paraId="2CFE1B0B" w14:textId="77777777" w:rsidR="00863E25" w:rsidRDefault="00863E25" w:rsidP="00B740F1">
      <w:pPr>
        <w:ind w:firstLine="708"/>
        <w:rPr>
          <w:b/>
          <w:bCs/>
          <w:color w:val="4F81BD" w:themeColor="accent1"/>
          <w:sz w:val="32"/>
          <w:szCs w:val="32"/>
        </w:rPr>
      </w:pPr>
    </w:p>
    <w:p w14:paraId="25CEFB2C" w14:textId="77777777" w:rsidR="00863E25" w:rsidRDefault="00863E25" w:rsidP="00B740F1">
      <w:pPr>
        <w:ind w:firstLine="708"/>
        <w:rPr>
          <w:b/>
          <w:bCs/>
          <w:color w:val="4F81BD" w:themeColor="accent1"/>
          <w:sz w:val="32"/>
          <w:szCs w:val="32"/>
        </w:rPr>
      </w:pPr>
    </w:p>
    <w:p w14:paraId="123A30DC" w14:textId="77777777" w:rsidR="00863E25" w:rsidRDefault="00863E25" w:rsidP="00B740F1">
      <w:pPr>
        <w:ind w:firstLine="708"/>
        <w:rPr>
          <w:b/>
          <w:bCs/>
          <w:color w:val="4F81BD" w:themeColor="accent1"/>
          <w:sz w:val="32"/>
          <w:szCs w:val="32"/>
        </w:rPr>
      </w:pPr>
    </w:p>
    <w:p w14:paraId="5A9BE28A" w14:textId="77777777" w:rsidR="00863E25" w:rsidRDefault="00863E25" w:rsidP="00B740F1">
      <w:pPr>
        <w:ind w:firstLine="708"/>
        <w:rPr>
          <w:b/>
          <w:bCs/>
          <w:color w:val="4F81BD" w:themeColor="accent1"/>
          <w:sz w:val="32"/>
          <w:szCs w:val="32"/>
        </w:rPr>
      </w:pPr>
    </w:p>
    <w:p w14:paraId="4B2F6208" w14:textId="77777777" w:rsidR="00863E25" w:rsidRDefault="00863E25" w:rsidP="00B740F1">
      <w:pPr>
        <w:ind w:firstLine="708"/>
        <w:rPr>
          <w:b/>
          <w:bCs/>
          <w:color w:val="4F81BD" w:themeColor="accent1"/>
          <w:sz w:val="32"/>
          <w:szCs w:val="32"/>
        </w:rPr>
      </w:pPr>
    </w:p>
    <w:p w14:paraId="5F134E95" w14:textId="294EB2D5" w:rsidR="00B740F1" w:rsidRPr="00B964A8" w:rsidRDefault="00B964A8" w:rsidP="00B740F1">
      <w:pPr>
        <w:ind w:firstLine="708"/>
        <w:rPr>
          <w:b/>
          <w:bCs/>
          <w:color w:val="4F81BD" w:themeColor="accent1"/>
          <w:sz w:val="32"/>
          <w:szCs w:val="32"/>
        </w:rPr>
      </w:pPr>
      <w:r w:rsidRPr="00B964A8">
        <w:rPr>
          <w:b/>
          <w:bCs/>
          <w:color w:val="4F81BD" w:themeColor="accent1"/>
          <w:sz w:val="32"/>
          <w:szCs w:val="32"/>
        </w:rPr>
        <w:lastRenderedPageBreak/>
        <w:t>OP13 Послеоперационный рецидив</w:t>
      </w:r>
      <w:r w:rsidR="00052B07" w:rsidRPr="00052B07">
        <w:rPr>
          <w:b/>
          <w:bCs/>
          <w:color w:val="4F81BD" w:themeColor="accent1"/>
          <w:sz w:val="32"/>
          <w:szCs w:val="32"/>
        </w:rPr>
        <w:t xml:space="preserve"> </w:t>
      </w:r>
      <w:r w:rsidR="0007615B">
        <w:rPr>
          <w:b/>
          <w:bCs/>
          <w:color w:val="4F81BD" w:themeColor="accent1"/>
          <w:sz w:val="32"/>
          <w:szCs w:val="32"/>
        </w:rPr>
        <w:t>(ПОР)</w:t>
      </w:r>
      <w:r w:rsidRPr="00B964A8">
        <w:rPr>
          <w:b/>
          <w:bCs/>
          <w:color w:val="4F81BD" w:themeColor="accent1"/>
          <w:sz w:val="32"/>
          <w:szCs w:val="32"/>
        </w:rPr>
        <w:t xml:space="preserve"> болезни Крона: вопросы без ответов и будущие направления в диагностике, патофизиологии, профилактике и лечении. Выводы 8-го научного семинара ECCO.</w:t>
      </w:r>
    </w:p>
    <w:p w14:paraId="0A787F79" w14:textId="71268609" w:rsidR="00854A9C" w:rsidRPr="00306384" w:rsidRDefault="00854A9C" w:rsidP="00C0049D">
      <w:pPr>
        <w:ind w:firstLine="708"/>
        <w:jc w:val="both"/>
        <w:rPr>
          <w:sz w:val="20"/>
          <w:szCs w:val="20"/>
        </w:rPr>
      </w:pPr>
      <w:r w:rsidRPr="00306384">
        <w:rPr>
          <w:sz w:val="20"/>
          <w:szCs w:val="20"/>
        </w:rPr>
        <w:t>Riviere, P;Dragoni, G;</w:t>
      </w:r>
      <w:r w:rsidR="00E07626" w:rsidRPr="00306384">
        <w:rPr>
          <w:sz w:val="20"/>
          <w:szCs w:val="20"/>
        </w:rPr>
        <w:t xml:space="preserve"> </w:t>
      </w:r>
      <w:r w:rsidRPr="00306384">
        <w:rPr>
          <w:sz w:val="20"/>
          <w:szCs w:val="20"/>
        </w:rPr>
        <w:t xml:space="preserve">Allez, </w:t>
      </w:r>
      <w:r w:rsidR="00E07626" w:rsidRPr="00306384">
        <w:rPr>
          <w:sz w:val="20"/>
          <w:szCs w:val="20"/>
        </w:rPr>
        <w:t>М</w:t>
      </w:r>
      <w:r w:rsidRPr="00306384">
        <w:rPr>
          <w:sz w:val="20"/>
          <w:szCs w:val="20"/>
        </w:rPr>
        <w:t>;</w:t>
      </w:r>
      <w:r w:rsidR="00E07626" w:rsidRPr="00306384">
        <w:rPr>
          <w:sz w:val="20"/>
          <w:szCs w:val="20"/>
        </w:rPr>
        <w:t xml:space="preserve"> </w:t>
      </w:r>
      <w:r w:rsidRPr="00306384">
        <w:rPr>
          <w:sz w:val="20"/>
          <w:szCs w:val="20"/>
        </w:rPr>
        <w:t>Allocca, M;</w:t>
      </w:r>
      <w:r w:rsidR="00E07626" w:rsidRPr="00306384">
        <w:rPr>
          <w:sz w:val="20"/>
          <w:szCs w:val="20"/>
        </w:rPr>
        <w:t xml:space="preserve"> </w:t>
      </w:r>
      <w:r w:rsidRPr="00306384">
        <w:rPr>
          <w:sz w:val="20"/>
          <w:szCs w:val="20"/>
        </w:rPr>
        <w:t>Arebi, N;Bemelman, W;Bislenghi, G;Brown, S;Carvello, M;De Vries, A.;Domenech, E;Hammoudi, N;Kapizioni, C;Kotze, P.G;Mañosa, M;Myrelid, P;Oliveira-Cunha, M;Noor, N.N;Pellino, G;Pouillon, L;Savarino, E</w:t>
      </w:r>
      <w:r w:rsidR="00306384" w:rsidRPr="00306384">
        <w:rPr>
          <w:sz w:val="20"/>
          <w:szCs w:val="20"/>
        </w:rPr>
        <w:t xml:space="preserve">; </w:t>
      </w:r>
      <w:r w:rsidRPr="00306384">
        <w:rPr>
          <w:sz w:val="20"/>
          <w:szCs w:val="20"/>
        </w:rPr>
        <w:t>Verstockt, B;Panis, Y;Ferrante, M.</w:t>
      </w:r>
    </w:p>
    <w:p w14:paraId="053D7259" w14:textId="6A78F8C6" w:rsidR="00C418F5" w:rsidRDefault="00052B07" w:rsidP="00B740F1">
      <w:pPr>
        <w:ind w:firstLine="708"/>
        <w:rPr>
          <w:sz w:val="24"/>
          <w:szCs w:val="24"/>
        </w:rPr>
      </w:pPr>
      <w:r w:rsidRPr="00052B07">
        <w:rPr>
          <w:sz w:val="24"/>
          <w:szCs w:val="24"/>
        </w:rPr>
        <w:t>В последние годы используют</w:t>
      </w:r>
      <w:r w:rsidR="00BD3D17">
        <w:rPr>
          <w:sz w:val="24"/>
          <w:szCs w:val="24"/>
        </w:rPr>
        <w:t>ся</w:t>
      </w:r>
      <w:r w:rsidRPr="00052B07">
        <w:rPr>
          <w:sz w:val="24"/>
          <w:szCs w:val="24"/>
        </w:rPr>
        <w:t xml:space="preserve"> инновационные хирургические методы для уменьшения </w:t>
      </w:r>
      <w:r w:rsidR="0007615B">
        <w:rPr>
          <w:sz w:val="24"/>
          <w:szCs w:val="24"/>
        </w:rPr>
        <w:t>ПОР</w:t>
      </w:r>
      <w:r w:rsidRPr="00052B07">
        <w:rPr>
          <w:sz w:val="24"/>
          <w:szCs w:val="24"/>
        </w:rPr>
        <w:t xml:space="preserve">. Илеоколоноскопия от шести до двенадцати месяцев после </w:t>
      </w:r>
      <w:r w:rsidR="0007615B">
        <w:rPr>
          <w:sz w:val="24"/>
          <w:szCs w:val="24"/>
        </w:rPr>
        <w:t>операции</w:t>
      </w:r>
      <w:r w:rsidRPr="00052B07">
        <w:rPr>
          <w:sz w:val="24"/>
          <w:szCs w:val="24"/>
        </w:rPr>
        <w:t xml:space="preserve"> остается золотым стандартом диагностики П</w:t>
      </w:r>
      <w:r w:rsidR="0007615B">
        <w:rPr>
          <w:sz w:val="24"/>
          <w:szCs w:val="24"/>
        </w:rPr>
        <w:t>О</w:t>
      </w:r>
      <w:r w:rsidRPr="00052B07">
        <w:rPr>
          <w:sz w:val="24"/>
          <w:szCs w:val="24"/>
        </w:rPr>
        <w:t>Р. Тем не менее, требуется попытка адаптировать шкалу Rutgeerts к хирургическим методам, отличным от анастомоза конец в конец. Значение изолированных язв линии анастомоза до сих пор обсуждается. В ближайшие годы ультразвуковое исследование кишечника в сочетании с фекальным кальпротектином может уменьшить зависимость от илеоколоноскопии.</w:t>
      </w:r>
    </w:p>
    <w:p w14:paraId="5DDAB1F6" w14:textId="075BFEBE" w:rsidR="00B740F1" w:rsidRPr="00B740F1" w:rsidRDefault="00B740F1" w:rsidP="004326CC">
      <w:pPr>
        <w:ind w:firstLine="708"/>
        <w:rPr>
          <w:sz w:val="24"/>
          <w:szCs w:val="24"/>
        </w:rPr>
      </w:pPr>
      <w:r w:rsidRPr="00B740F1">
        <w:rPr>
          <w:sz w:val="24"/>
          <w:szCs w:val="24"/>
        </w:rPr>
        <w:t>Исследования микробиома и генетического фона пациентов с П</w:t>
      </w:r>
      <w:r w:rsidR="00C418F5">
        <w:rPr>
          <w:sz w:val="24"/>
          <w:szCs w:val="24"/>
        </w:rPr>
        <w:t>О</w:t>
      </w:r>
      <w:r w:rsidRPr="00B740F1">
        <w:rPr>
          <w:sz w:val="24"/>
          <w:szCs w:val="24"/>
        </w:rPr>
        <w:t>Р являются многообещающими, хотя пока не применимыми в повседневной клинической практике. Курение является единственным фактором риска, четко идентифицированным при П</w:t>
      </w:r>
      <w:r w:rsidR="00C418F5">
        <w:rPr>
          <w:sz w:val="24"/>
          <w:szCs w:val="24"/>
        </w:rPr>
        <w:t>О</w:t>
      </w:r>
      <w:r w:rsidRPr="00B740F1">
        <w:rPr>
          <w:sz w:val="24"/>
          <w:szCs w:val="24"/>
        </w:rPr>
        <w:t>Р, в то время как предшествующая резекция подвздошн</w:t>
      </w:r>
      <w:r w:rsidR="004326CC">
        <w:rPr>
          <w:sz w:val="24"/>
          <w:szCs w:val="24"/>
        </w:rPr>
        <w:t>ой</w:t>
      </w:r>
      <w:r w:rsidRPr="00B740F1">
        <w:rPr>
          <w:sz w:val="24"/>
          <w:szCs w:val="24"/>
        </w:rPr>
        <w:t xml:space="preserve"> кишки или </w:t>
      </w:r>
      <w:r w:rsidR="004326CC">
        <w:rPr>
          <w:sz w:val="24"/>
          <w:szCs w:val="24"/>
        </w:rPr>
        <w:t xml:space="preserve">пенетрирующая форма </w:t>
      </w:r>
      <w:r w:rsidRPr="00B740F1">
        <w:rPr>
          <w:sz w:val="24"/>
          <w:szCs w:val="24"/>
        </w:rPr>
        <w:t>заболевани</w:t>
      </w:r>
      <w:r w:rsidR="004326CC">
        <w:rPr>
          <w:sz w:val="24"/>
          <w:szCs w:val="24"/>
        </w:rPr>
        <w:t>я</w:t>
      </w:r>
      <w:r w:rsidRPr="00B740F1">
        <w:rPr>
          <w:sz w:val="24"/>
          <w:szCs w:val="24"/>
        </w:rPr>
        <w:t xml:space="preserve"> не были подтверждены в проспективных исследованиях. Более сильный акцент на прекращении курения для всех пациентов должен включать конкретные активные меры, чтобы сделать его успешным.</w:t>
      </w:r>
    </w:p>
    <w:p w14:paraId="11674460" w14:textId="60795CFB" w:rsidR="00AC311F" w:rsidRDefault="00B740F1" w:rsidP="00B740F1">
      <w:pPr>
        <w:ind w:firstLine="708"/>
        <w:rPr>
          <w:sz w:val="24"/>
          <w:szCs w:val="24"/>
        </w:rPr>
      </w:pPr>
      <w:r w:rsidRPr="00B740F1">
        <w:rPr>
          <w:sz w:val="24"/>
          <w:szCs w:val="24"/>
        </w:rPr>
        <w:t xml:space="preserve">Существующий пробел в точных предикторах </w:t>
      </w:r>
      <w:r w:rsidR="004326CC">
        <w:rPr>
          <w:sz w:val="24"/>
          <w:szCs w:val="24"/>
        </w:rPr>
        <w:t>ПОР</w:t>
      </w:r>
      <w:r w:rsidRPr="00B740F1">
        <w:rPr>
          <w:sz w:val="24"/>
          <w:szCs w:val="24"/>
        </w:rPr>
        <w:t xml:space="preserve"> лишает клиницистов возможности проводить стратификацию между систематической профилактикой и подходом, основанным на эндоскопии. Немедленная профилактическая терапия может привести к избыточному лечению. </w:t>
      </w:r>
      <w:r w:rsidR="009B46F3">
        <w:rPr>
          <w:sz w:val="24"/>
          <w:szCs w:val="24"/>
        </w:rPr>
        <w:t>Результаты т</w:t>
      </w:r>
      <w:r w:rsidRPr="00B740F1">
        <w:rPr>
          <w:sz w:val="24"/>
          <w:szCs w:val="24"/>
        </w:rPr>
        <w:t>екущи</w:t>
      </w:r>
      <w:r w:rsidR="009B46F3">
        <w:rPr>
          <w:sz w:val="24"/>
          <w:szCs w:val="24"/>
        </w:rPr>
        <w:t>х</w:t>
      </w:r>
      <w:r w:rsidRPr="00B740F1">
        <w:rPr>
          <w:sz w:val="24"/>
          <w:szCs w:val="24"/>
        </w:rPr>
        <w:t xml:space="preserve"> рандомизированны</w:t>
      </w:r>
      <w:r w:rsidR="009B46F3">
        <w:rPr>
          <w:sz w:val="24"/>
          <w:szCs w:val="24"/>
        </w:rPr>
        <w:t>х</w:t>
      </w:r>
      <w:r w:rsidRPr="00B740F1">
        <w:rPr>
          <w:sz w:val="24"/>
          <w:szCs w:val="24"/>
        </w:rPr>
        <w:t xml:space="preserve"> исследовани</w:t>
      </w:r>
      <w:r w:rsidR="009B46F3">
        <w:rPr>
          <w:sz w:val="24"/>
          <w:szCs w:val="24"/>
        </w:rPr>
        <w:t>й</w:t>
      </w:r>
      <w:r w:rsidRPr="00B740F1">
        <w:rPr>
          <w:sz w:val="24"/>
          <w:szCs w:val="24"/>
        </w:rPr>
        <w:t>, сравнивающи</w:t>
      </w:r>
      <w:r w:rsidR="009B46F3">
        <w:rPr>
          <w:sz w:val="24"/>
          <w:szCs w:val="24"/>
        </w:rPr>
        <w:t>х</w:t>
      </w:r>
      <w:r w:rsidRPr="00B740F1">
        <w:rPr>
          <w:sz w:val="24"/>
          <w:szCs w:val="24"/>
        </w:rPr>
        <w:t xml:space="preserve"> систематическую профилактику и введение биологической терапии под контролем эндоскопии</w:t>
      </w:r>
      <w:r w:rsidR="009B46F3" w:rsidRPr="009B46F3">
        <w:t xml:space="preserve"> </w:t>
      </w:r>
      <w:r w:rsidR="009B46F3" w:rsidRPr="009B46F3">
        <w:rPr>
          <w:sz w:val="24"/>
          <w:szCs w:val="24"/>
        </w:rPr>
        <w:t>(NCT05169593)</w:t>
      </w:r>
      <w:r w:rsidRPr="00B740F1">
        <w:rPr>
          <w:sz w:val="24"/>
          <w:szCs w:val="24"/>
        </w:rPr>
        <w:t xml:space="preserve"> и эскалацию терапии у пациентов с умеренным эндоскопическим </w:t>
      </w:r>
      <w:r w:rsidR="009B46F3">
        <w:rPr>
          <w:sz w:val="24"/>
          <w:szCs w:val="24"/>
        </w:rPr>
        <w:t>ПОР</w:t>
      </w:r>
      <w:r w:rsidRPr="00B740F1">
        <w:rPr>
          <w:sz w:val="24"/>
          <w:szCs w:val="24"/>
        </w:rPr>
        <w:t xml:space="preserve"> (NCT05072782), должны быть информативны</w:t>
      </w:r>
      <w:r w:rsidR="009B46F3">
        <w:rPr>
          <w:sz w:val="24"/>
          <w:szCs w:val="24"/>
        </w:rPr>
        <w:t>ми.</w:t>
      </w:r>
    </w:p>
    <w:p w14:paraId="1B1E3C36" w14:textId="00174316" w:rsidR="00243616" w:rsidRDefault="00243616" w:rsidP="00243616">
      <w:pPr>
        <w:ind w:firstLine="708"/>
        <w:rPr>
          <w:sz w:val="24"/>
          <w:szCs w:val="24"/>
        </w:rPr>
      </w:pPr>
      <w:r w:rsidRPr="00243616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. </w:t>
      </w:r>
      <w:r w:rsidRPr="00243616">
        <w:rPr>
          <w:sz w:val="24"/>
          <w:szCs w:val="24"/>
        </w:rPr>
        <w:t>Несмотря на значительный прогресс за последние 30 лет, управление</w:t>
      </w:r>
      <w:r w:rsidR="000A35E1">
        <w:rPr>
          <w:sz w:val="24"/>
          <w:szCs w:val="24"/>
        </w:rPr>
        <w:t xml:space="preserve"> ПОР</w:t>
      </w:r>
      <w:r w:rsidRPr="00243616">
        <w:rPr>
          <w:sz w:val="24"/>
          <w:szCs w:val="24"/>
        </w:rPr>
        <w:t xml:space="preserve"> остается сложной задачей. Сообщество ВЗК должно стремиться оптимизировать диагностические процедур</w:t>
      </w:r>
      <w:r w:rsidR="007D6F3B">
        <w:rPr>
          <w:sz w:val="24"/>
          <w:szCs w:val="24"/>
        </w:rPr>
        <w:t>ы</w:t>
      </w:r>
      <w:r w:rsidRPr="00243616">
        <w:rPr>
          <w:sz w:val="24"/>
          <w:szCs w:val="24"/>
        </w:rPr>
        <w:t>, включая илеоколоноскопию и неинвазивные методы, определять пациентов с высоким риском П</w:t>
      </w:r>
      <w:r w:rsidR="007D6F3B">
        <w:rPr>
          <w:sz w:val="24"/>
          <w:szCs w:val="24"/>
        </w:rPr>
        <w:t>О</w:t>
      </w:r>
      <w:r w:rsidRPr="00243616">
        <w:rPr>
          <w:sz w:val="24"/>
          <w:szCs w:val="24"/>
        </w:rPr>
        <w:t>Р с помощью микробиомного и/или генетического профилирования и уточнять оптимальную стратегию лечения после операции.</w:t>
      </w:r>
    </w:p>
    <w:p w14:paraId="4B2976D4" w14:textId="77777777" w:rsidR="00C6684F" w:rsidRDefault="00C6684F" w:rsidP="00243616">
      <w:pPr>
        <w:ind w:firstLine="708"/>
        <w:rPr>
          <w:sz w:val="24"/>
          <w:szCs w:val="24"/>
        </w:rPr>
      </w:pPr>
    </w:p>
    <w:p w14:paraId="4171C707" w14:textId="77777777" w:rsidR="00C6684F" w:rsidRDefault="00C6684F" w:rsidP="00243616">
      <w:pPr>
        <w:ind w:firstLine="708"/>
        <w:rPr>
          <w:sz w:val="24"/>
          <w:szCs w:val="24"/>
        </w:rPr>
      </w:pPr>
    </w:p>
    <w:p w14:paraId="59221E91" w14:textId="76DEF876" w:rsidR="00C6684F" w:rsidRPr="00A73C90" w:rsidRDefault="00175511" w:rsidP="00243616">
      <w:pPr>
        <w:ind w:firstLine="708"/>
        <w:rPr>
          <w:b/>
          <w:bCs/>
          <w:color w:val="4F81BD" w:themeColor="accent1"/>
          <w:sz w:val="32"/>
          <w:szCs w:val="32"/>
        </w:rPr>
      </w:pPr>
      <w:r w:rsidRPr="00A73C90">
        <w:rPr>
          <w:b/>
          <w:bCs/>
          <w:color w:val="4F81BD" w:themeColor="accent1"/>
          <w:sz w:val="32"/>
          <w:szCs w:val="32"/>
          <w:lang w:val="en-US"/>
        </w:rPr>
        <w:t>DOP</w:t>
      </w:r>
      <w:r w:rsidRPr="00A73C90">
        <w:rPr>
          <w:b/>
          <w:bCs/>
          <w:color w:val="4F81BD" w:themeColor="accent1"/>
          <w:sz w:val="32"/>
          <w:szCs w:val="32"/>
        </w:rPr>
        <w:t>89 Влияние биопрепаратов на риск ранних послеоперационных осложнений при болезни Крона:</w:t>
      </w:r>
      <w:r w:rsidR="00120792">
        <w:rPr>
          <w:b/>
          <w:bCs/>
          <w:color w:val="4F81BD" w:themeColor="accent1"/>
          <w:sz w:val="32"/>
          <w:szCs w:val="32"/>
        </w:rPr>
        <w:t xml:space="preserve"> </w:t>
      </w:r>
      <w:r w:rsidRPr="00A73C90">
        <w:rPr>
          <w:b/>
          <w:bCs/>
          <w:color w:val="4F81BD" w:themeColor="accent1"/>
          <w:sz w:val="32"/>
          <w:szCs w:val="32"/>
        </w:rPr>
        <w:t xml:space="preserve">национальное исследование </w:t>
      </w:r>
      <w:r w:rsidR="00120792">
        <w:rPr>
          <w:b/>
          <w:bCs/>
          <w:color w:val="4F81BD" w:themeColor="accent1"/>
          <w:sz w:val="32"/>
          <w:szCs w:val="32"/>
        </w:rPr>
        <w:t>(Ф</w:t>
      </w:r>
      <w:r w:rsidRPr="00A73C90">
        <w:rPr>
          <w:b/>
          <w:bCs/>
          <w:color w:val="4F81BD" w:themeColor="accent1"/>
          <w:sz w:val="32"/>
          <w:szCs w:val="32"/>
        </w:rPr>
        <w:t>ранци</w:t>
      </w:r>
      <w:r w:rsidR="00120792">
        <w:rPr>
          <w:b/>
          <w:bCs/>
          <w:color w:val="4F81BD" w:themeColor="accent1"/>
          <w:sz w:val="32"/>
          <w:szCs w:val="32"/>
        </w:rPr>
        <w:t>я)</w:t>
      </w:r>
    </w:p>
    <w:p w14:paraId="42A2FDE6" w14:textId="76266148" w:rsidR="00175511" w:rsidRPr="001A3454" w:rsidRDefault="001B48EA" w:rsidP="00243616">
      <w:pPr>
        <w:ind w:firstLine="708"/>
        <w:rPr>
          <w:lang w:val="en-US"/>
        </w:rPr>
      </w:pPr>
      <w:r w:rsidRPr="001A3454">
        <w:rPr>
          <w:lang w:val="en-US"/>
        </w:rPr>
        <w:t>Fumery, M.;</w:t>
      </w:r>
      <w:r w:rsidR="00A73C90" w:rsidRPr="001A3454">
        <w:rPr>
          <w:lang w:val="en-US"/>
        </w:rPr>
        <w:t xml:space="preserve"> </w:t>
      </w:r>
      <w:r w:rsidRPr="001A3454">
        <w:rPr>
          <w:lang w:val="en-US"/>
        </w:rPr>
        <w:t>Nancey, S.;</w:t>
      </w:r>
      <w:r w:rsidR="00A73C90" w:rsidRPr="001A3454">
        <w:rPr>
          <w:lang w:val="en-US"/>
        </w:rPr>
        <w:t xml:space="preserve"> </w:t>
      </w:r>
      <w:r w:rsidRPr="001A3454">
        <w:rPr>
          <w:lang w:val="en-US"/>
        </w:rPr>
        <w:t>Nachury, M.;</w:t>
      </w:r>
      <w:r w:rsidR="00A73C90" w:rsidRPr="001A3454">
        <w:rPr>
          <w:lang w:val="en-US"/>
        </w:rPr>
        <w:t xml:space="preserve"> </w:t>
      </w:r>
      <w:r w:rsidRPr="001A3454">
        <w:rPr>
          <w:lang w:val="en-US"/>
        </w:rPr>
        <w:t>Allez, M.;</w:t>
      </w:r>
      <w:r w:rsidR="00A73C90" w:rsidRPr="001A3454">
        <w:rPr>
          <w:lang w:val="en-US"/>
        </w:rPr>
        <w:t xml:space="preserve"> </w:t>
      </w:r>
      <w:r w:rsidRPr="001A3454">
        <w:rPr>
          <w:lang w:val="en-US"/>
        </w:rPr>
        <w:t>Rouillon, C.;</w:t>
      </w:r>
      <w:r w:rsidR="00A73C90" w:rsidRPr="001A3454">
        <w:rPr>
          <w:lang w:val="en-US"/>
        </w:rPr>
        <w:t xml:space="preserve"> </w:t>
      </w:r>
      <w:r w:rsidRPr="001A3454">
        <w:rPr>
          <w:lang w:val="en-US"/>
        </w:rPr>
        <w:t>Boureille, A</w:t>
      </w:r>
      <w:r w:rsidR="00A73C90" w:rsidRPr="001A3454">
        <w:rPr>
          <w:lang w:val="en-US"/>
        </w:rPr>
        <w:t xml:space="preserve">. </w:t>
      </w:r>
      <w:r w:rsidR="00045BA9" w:rsidRPr="001A3454">
        <w:rPr>
          <w:lang w:val="en-US"/>
        </w:rPr>
        <w:t>et al.</w:t>
      </w:r>
    </w:p>
    <w:p w14:paraId="020E3A36" w14:textId="73D7B997" w:rsidR="00116716" w:rsidRPr="00116716" w:rsidRDefault="00116716" w:rsidP="00116716">
      <w:pPr>
        <w:ind w:firstLine="708"/>
        <w:rPr>
          <w:sz w:val="24"/>
          <w:szCs w:val="24"/>
        </w:rPr>
      </w:pPr>
      <w:r w:rsidRPr="00116716">
        <w:rPr>
          <w:sz w:val="24"/>
          <w:szCs w:val="24"/>
        </w:rPr>
        <w:t>Все последовательные пациенты, перенесшие резекцию кишечника по поводу БК в период с июля 2014 г. по апрель 2022 г. в 22</w:t>
      </w:r>
      <w:r w:rsidR="003C4558">
        <w:rPr>
          <w:sz w:val="24"/>
          <w:szCs w:val="24"/>
        </w:rPr>
        <w:t xml:space="preserve"> </w:t>
      </w:r>
      <w:r w:rsidRPr="00116716">
        <w:rPr>
          <w:sz w:val="24"/>
          <w:szCs w:val="24"/>
        </w:rPr>
        <w:t>центрах</w:t>
      </w:r>
      <w:r w:rsidR="00045BA9" w:rsidRPr="00045BA9">
        <w:rPr>
          <w:sz w:val="24"/>
          <w:szCs w:val="24"/>
        </w:rPr>
        <w:t xml:space="preserve"> </w:t>
      </w:r>
      <w:r w:rsidR="00FA5010">
        <w:rPr>
          <w:sz w:val="24"/>
          <w:szCs w:val="24"/>
        </w:rPr>
        <w:t>Франции</w:t>
      </w:r>
      <w:r w:rsidRPr="00116716">
        <w:rPr>
          <w:sz w:val="24"/>
          <w:szCs w:val="24"/>
        </w:rPr>
        <w:t xml:space="preserve">, были включены в ретроспективную когорту. </w:t>
      </w:r>
    </w:p>
    <w:p w14:paraId="5D990B0C" w14:textId="4A0F83A1" w:rsidR="00116716" w:rsidRPr="003C4558" w:rsidRDefault="00116716" w:rsidP="00AA537A">
      <w:pPr>
        <w:rPr>
          <w:sz w:val="24"/>
          <w:szCs w:val="24"/>
        </w:rPr>
      </w:pPr>
      <w:r w:rsidRPr="00116716">
        <w:rPr>
          <w:sz w:val="24"/>
          <w:szCs w:val="24"/>
        </w:rPr>
        <w:lastRenderedPageBreak/>
        <w:t>ПОЛУЧЕННЫЕ РЕЗУЛЬТАТЫ</w:t>
      </w:r>
      <w:r w:rsidR="00AA537A">
        <w:rPr>
          <w:sz w:val="24"/>
          <w:szCs w:val="24"/>
        </w:rPr>
        <w:t xml:space="preserve">. </w:t>
      </w:r>
      <w:r w:rsidRPr="00116716">
        <w:rPr>
          <w:sz w:val="24"/>
          <w:szCs w:val="24"/>
        </w:rPr>
        <w:t>Среди 1201 включенного пациента</w:t>
      </w:r>
      <w:r w:rsidR="00AA537A">
        <w:rPr>
          <w:sz w:val="24"/>
          <w:szCs w:val="24"/>
        </w:rPr>
        <w:t xml:space="preserve"> </w:t>
      </w:r>
      <w:r w:rsidRPr="00116716">
        <w:rPr>
          <w:sz w:val="24"/>
          <w:szCs w:val="24"/>
        </w:rPr>
        <w:t>491 (41%), 76 (6,3%) и 57 (4,7%) получали анти-ФНО, устекинумаб или ведолизумаб</w:t>
      </w:r>
      <w:r w:rsidR="00AA537A" w:rsidRPr="00116716">
        <w:rPr>
          <w:sz w:val="24"/>
          <w:szCs w:val="24"/>
        </w:rPr>
        <w:t xml:space="preserve"> соответственно</w:t>
      </w:r>
      <w:r w:rsidRPr="00116716">
        <w:rPr>
          <w:sz w:val="24"/>
          <w:szCs w:val="24"/>
        </w:rPr>
        <w:t xml:space="preserve"> в течение шести месяцев до операции. В общей сложности у 317 (26,4%) пациентов было по крайней мере одно осложнение, из которых 123 (38%) были расценены как тяжелые (</w:t>
      </w:r>
      <w:r w:rsidRPr="00116716">
        <w:rPr>
          <w:sz w:val="24"/>
          <w:szCs w:val="24"/>
          <w:lang w:val="en-US"/>
        </w:rPr>
        <w:t>DINDO</w:t>
      </w:r>
      <w:r w:rsidRPr="00116716">
        <w:rPr>
          <w:sz w:val="24"/>
          <w:szCs w:val="24"/>
        </w:rPr>
        <w:t xml:space="preserve"> </w:t>
      </w:r>
      <w:r w:rsidRPr="00116716">
        <w:rPr>
          <w:sz w:val="24"/>
          <w:szCs w:val="24"/>
          <w:lang w:val="en-US"/>
        </w:rPr>
        <w:t>III</w:t>
      </w:r>
      <w:r w:rsidRPr="00116716">
        <w:rPr>
          <w:sz w:val="24"/>
          <w:szCs w:val="24"/>
        </w:rPr>
        <w:t>/</w:t>
      </w:r>
      <w:r w:rsidRPr="00116716">
        <w:rPr>
          <w:sz w:val="24"/>
          <w:szCs w:val="24"/>
          <w:lang w:val="en-US"/>
        </w:rPr>
        <w:t>IV</w:t>
      </w:r>
      <w:r w:rsidRPr="00116716">
        <w:rPr>
          <w:sz w:val="24"/>
          <w:szCs w:val="24"/>
        </w:rPr>
        <w:t xml:space="preserve">). Новая операция потребовалась у 69 (5,7%) пациентов и вторичная стома у 23 (1,9%). Наблюдались три смерти (0,25%). Частота общих осложнений у </w:t>
      </w:r>
      <w:r w:rsidR="00587D35">
        <w:rPr>
          <w:sz w:val="24"/>
          <w:szCs w:val="24"/>
        </w:rPr>
        <w:t xml:space="preserve">био-наивных </w:t>
      </w:r>
      <w:r w:rsidRPr="00116716">
        <w:rPr>
          <w:sz w:val="24"/>
          <w:szCs w:val="24"/>
        </w:rPr>
        <w:t xml:space="preserve">пациентов, получавших анти-ФНО, устекинумаб или ведолизумаб, составила соответственно 26,1%, 25,1%, 34,7% и 29,8%. Риск интраабдоминальных инфекционных осложнений в этих четырех группах составил соответственно 13,5%, 11,1%, 13,3% и 8,8%. </w:t>
      </w:r>
      <w:r w:rsidRPr="003C4558">
        <w:rPr>
          <w:sz w:val="24"/>
          <w:szCs w:val="24"/>
        </w:rPr>
        <w:t xml:space="preserve">При многофакторном анализе возраст [ОШ 1,02 (1,01-1,04); </w:t>
      </w:r>
      <w:r w:rsidRPr="00116716">
        <w:rPr>
          <w:sz w:val="24"/>
          <w:szCs w:val="24"/>
          <w:lang w:val="en-US"/>
        </w:rPr>
        <w:t>p</w:t>
      </w:r>
      <w:r w:rsidRPr="003C4558">
        <w:rPr>
          <w:sz w:val="24"/>
          <w:szCs w:val="24"/>
        </w:rPr>
        <w:t>=0,004], активность заболевания [</w:t>
      </w:r>
      <w:r w:rsidRPr="00116716">
        <w:rPr>
          <w:sz w:val="24"/>
          <w:szCs w:val="24"/>
          <w:lang w:val="en-US"/>
        </w:rPr>
        <w:t>OR</w:t>
      </w:r>
      <w:r w:rsidRPr="003C4558">
        <w:rPr>
          <w:sz w:val="24"/>
          <w:szCs w:val="24"/>
        </w:rPr>
        <w:t xml:space="preserve">, 8,36 (1,79 – 149); р=0,037], наличие абсцесса [ОШ 2,01 (1,25-3,20); </w:t>
      </w:r>
      <w:r w:rsidRPr="00116716">
        <w:rPr>
          <w:sz w:val="24"/>
          <w:szCs w:val="24"/>
          <w:lang w:val="en-US"/>
        </w:rPr>
        <w:t>p</w:t>
      </w:r>
      <w:r w:rsidRPr="003C4558">
        <w:rPr>
          <w:sz w:val="24"/>
          <w:szCs w:val="24"/>
        </w:rPr>
        <w:t>=0,004] и исходная стома [</w:t>
      </w:r>
      <w:r w:rsidRPr="00116716">
        <w:rPr>
          <w:sz w:val="24"/>
          <w:szCs w:val="24"/>
          <w:lang w:val="en-US"/>
        </w:rPr>
        <w:t>OR</w:t>
      </w:r>
      <w:r w:rsidRPr="003C4558">
        <w:rPr>
          <w:sz w:val="24"/>
          <w:szCs w:val="24"/>
        </w:rPr>
        <w:t xml:space="preserve">, 1,70 (1,10 -2,61); </w:t>
      </w:r>
      <w:r w:rsidRPr="00116716">
        <w:rPr>
          <w:sz w:val="24"/>
          <w:szCs w:val="24"/>
          <w:lang w:val="en-US"/>
        </w:rPr>
        <w:t>p</w:t>
      </w:r>
      <w:r w:rsidRPr="003C4558">
        <w:rPr>
          <w:sz w:val="24"/>
          <w:szCs w:val="24"/>
        </w:rPr>
        <w:t>=0,016] достоверно ассоциировались с интраабдоминальными инфекционными осложнениями. Наоборот, предоперационное энтеральное питание [ОШ, 0,12 (0,01 -0,59); р=0,040] было связано со снижением этого риска. Воздействие анти-ФНО [ОШ, 0,80 (0,51-1,24); р=0,31], устекинумаб</w:t>
      </w:r>
      <w:r w:rsidR="001E3F03">
        <w:rPr>
          <w:sz w:val="24"/>
          <w:szCs w:val="24"/>
        </w:rPr>
        <w:t>а</w:t>
      </w:r>
      <w:r w:rsidRPr="003C4558">
        <w:rPr>
          <w:sz w:val="24"/>
          <w:szCs w:val="24"/>
        </w:rPr>
        <w:t xml:space="preserve"> [ОШ 1,17 (0,39-3,51); р=0,78] и ведолизумаб</w:t>
      </w:r>
      <w:r w:rsidR="001E3F03">
        <w:rPr>
          <w:sz w:val="24"/>
          <w:szCs w:val="24"/>
        </w:rPr>
        <w:t>а</w:t>
      </w:r>
      <w:r w:rsidRPr="003C4558">
        <w:rPr>
          <w:sz w:val="24"/>
          <w:szCs w:val="24"/>
        </w:rPr>
        <w:t xml:space="preserve"> [ОШ 1,28 (0,32-5,17); р=0,72] в течение 3 мес до операции не были связаны с риском интраабдоминальных инфекционных осложнений.</w:t>
      </w:r>
    </w:p>
    <w:p w14:paraId="0C3C690B" w14:textId="61E607F7" w:rsidR="001B48EA" w:rsidRDefault="00116716" w:rsidP="001C6CAA">
      <w:pPr>
        <w:rPr>
          <w:sz w:val="24"/>
          <w:szCs w:val="24"/>
        </w:rPr>
      </w:pPr>
      <w:r w:rsidRPr="003C4558">
        <w:rPr>
          <w:sz w:val="24"/>
          <w:szCs w:val="24"/>
        </w:rPr>
        <w:t>ЗАКЛЮЧЕНИЕ</w:t>
      </w:r>
      <w:r w:rsidR="001C6CAA">
        <w:rPr>
          <w:sz w:val="24"/>
          <w:szCs w:val="24"/>
        </w:rPr>
        <w:t xml:space="preserve">. </w:t>
      </w:r>
      <w:r w:rsidRPr="003C4558">
        <w:rPr>
          <w:sz w:val="24"/>
          <w:szCs w:val="24"/>
        </w:rPr>
        <w:t xml:space="preserve">В </w:t>
      </w:r>
      <w:r w:rsidR="001C6CAA">
        <w:rPr>
          <w:sz w:val="24"/>
          <w:szCs w:val="24"/>
        </w:rPr>
        <w:t>дан</w:t>
      </w:r>
      <w:r w:rsidR="00A73C90">
        <w:rPr>
          <w:sz w:val="24"/>
          <w:szCs w:val="24"/>
        </w:rPr>
        <w:t>ной</w:t>
      </w:r>
      <w:r w:rsidRPr="003C4558">
        <w:rPr>
          <w:sz w:val="24"/>
          <w:szCs w:val="24"/>
        </w:rPr>
        <w:t xml:space="preserve"> большой когорте у четверти пациентов, оперированных по поводу БК, возникло раннее послеоперационное осложнение, а у 10% — тяжелое осложнение. Предоперационное применение анти-ФНО, ведолизумаба или устекинумаба не было связано с повышенным риском ранних послеоперационных осложнений. Предоперационное энтеральное питание ассоциировалось со сниженным риском интраабдоминальных инфекционных осложнений.</w:t>
      </w:r>
    </w:p>
    <w:p w14:paraId="1AB6F845" w14:textId="77777777" w:rsidR="00F225AC" w:rsidRDefault="00F225AC" w:rsidP="001C6CAA">
      <w:pPr>
        <w:rPr>
          <w:sz w:val="24"/>
          <w:szCs w:val="24"/>
        </w:rPr>
      </w:pPr>
    </w:p>
    <w:p w14:paraId="73EE097A" w14:textId="77777777" w:rsidR="00F225AC" w:rsidRDefault="00F225AC" w:rsidP="001C6CAA">
      <w:pPr>
        <w:rPr>
          <w:sz w:val="24"/>
          <w:szCs w:val="24"/>
        </w:rPr>
      </w:pPr>
    </w:p>
    <w:p w14:paraId="1225B189" w14:textId="77777777" w:rsidR="00F225AC" w:rsidRPr="002601A7" w:rsidRDefault="00F225AC" w:rsidP="001C6CAA">
      <w:pPr>
        <w:rPr>
          <w:b/>
          <w:bCs/>
          <w:color w:val="4F81BD" w:themeColor="accent1"/>
          <w:sz w:val="32"/>
          <w:szCs w:val="32"/>
        </w:rPr>
      </w:pPr>
    </w:p>
    <w:p w14:paraId="10837757" w14:textId="77777777" w:rsidR="002601A7" w:rsidRDefault="002601A7" w:rsidP="001C6CAA">
      <w:pPr>
        <w:rPr>
          <w:b/>
          <w:bCs/>
          <w:color w:val="4F81BD" w:themeColor="accent1"/>
          <w:sz w:val="32"/>
          <w:szCs w:val="32"/>
        </w:rPr>
      </w:pPr>
    </w:p>
    <w:p w14:paraId="08633CB9" w14:textId="62EEC87E" w:rsidR="00F225AC" w:rsidRPr="002601A7" w:rsidRDefault="00641C68" w:rsidP="001C6CAA">
      <w:pPr>
        <w:rPr>
          <w:b/>
          <w:bCs/>
          <w:color w:val="4F81BD" w:themeColor="accent1"/>
          <w:sz w:val="32"/>
          <w:szCs w:val="32"/>
        </w:rPr>
      </w:pPr>
      <w:r w:rsidRPr="002601A7">
        <w:rPr>
          <w:b/>
          <w:bCs/>
          <w:color w:val="4F81BD" w:themeColor="accent1"/>
          <w:sz w:val="32"/>
          <w:szCs w:val="32"/>
        </w:rPr>
        <w:t xml:space="preserve">DOP85 </w:t>
      </w:r>
      <w:r w:rsidR="00A47822" w:rsidRPr="002601A7">
        <w:rPr>
          <w:b/>
          <w:bCs/>
          <w:color w:val="4F81BD" w:themeColor="accent1"/>
          <w:sz w:val="32"/>
          <w:szCs w:val="32"/>
        </w:rPr>
        <w:t xml:space="preserve">Два режима </w:t>
      </w:r>
      <w:r w:rsidR="00EF3595" w:rsidRPr="002601A7">
        <w:rPr>
          <w:b/>
          <w:bCs/>
          <w:color w:val="4F81BD" w:themeColor="accent1"/>
          <w:sz w:val="32"/>
          <w:szCs w:val="32"/>
        </w:rPr>
        <w:t>биологической терапии стрик</w:t>
      </w:r>
      <w:r w:rsidR="00AE60EE" w:rsidRPr="002601A7">
        <w:rPr>
          <w:b/>
          <w:bCs/>
          <w:color w:val="4F81BD" w:themeColor="accent1"/>
          <w:sz w:val="32"/>
          <w:szCs w:val="32"/>
        </w:rPr>
        <w:t xml:space="preserve">турирующей </w:t>
      </w:r>
      <w:r w:rsidR="00961FBF" w:rsidRPr="002601A7">
        <w:rPr>
          <w:b/>
          <w:bCs/>
          <w:color w:val="4F81BD" w:themeColor="accent1"/>
          <w:sz w:val="32"/>
          <w:szCs w:val="32"/>
        </w:rPr>
        <w:t>болезни Крона</w:t>
      </w:r>
      <w:r w:rsidR="00AE60EE" w:rsidRPr="002601A7">
        <w:rPr>
          <w:b/>
          <w:bCs/>
          <w:color w:val="4F81BD" w:themeColor="accent1"/>
          <w:sz w:val="32"/>
          <w:szCs w:val="32"/>
        </w:rPr>
        <w:t>:</w:t>
      </w:r>
      <w:r w:rsidR="00120792">
        <w:rPr>
          <w:b/>
          <w:bCs/>
          <w:color w:val="4F81BD" w:themeColor="accent1"/>
          <w:sz w:val="32"/>
          <w:szCs w:val="32"/>
        </w:rPr>
        <w:t xml:space="preserve"> </w:t>
      </w:r>
      <w:r w:rsidR="00961FBF" w:rsidRPr="002601A7">
        <w:rPr>
          <w:b/>
          <w:bCs/>
          <w:color w:val="4F81BD" w:themeColor="accent1"/>
          <w:sz w:val="32"/>
          <w:szCs w:val="32"/>
        </w:rPr>
        <w:t>результаты рандомизированного контролируемого исследования STRIDENT.</w:t>
      </w:r>
    </w:p>
    <w:p w14:paraId="1E659C2E" w14:textId="49406696" w:rsidR="002601A7" w:rsidRPr="002601A7" w:rsidRDefault="002601A7" w:rsidP="001C6CAA">
      <w:pPr>
        <w:rPr>
          <w:lang w:val="en-US"/>
        </w:rPr>
      </w:pPr>
      <w:r w:rsidRPr="002601A7">
        <w:rPr>
          <w:lang w:val="en-US"/>
        </w:rPr>
        <w:t>Schulberg, J.; Hamilton, A.; Wright, E.K.; Holt, B.; Lovett, G. et al.</w:t>
      </w:r>
    </w:p>
    <w:p w14:paraId="07AF5653" w14:textId="31B64ACF" w:rsidR="00BA5D1F" w:rsidRPr="00BA5D1F" w:rsidRDefault="00BA5D1F" w:rsidP="00AE60EE">
      <w:pPr>
        <w:ind w:firstLine="708"/>
        <w:rPr>
          <w:sz w:val="24"/>
          <w:szCs w:val="24"/>
        </w:rPr>
      </w:pPr>
      <w:r w:rsidRPr="00BA5D1F">
        <w:rPr>
          <w:sz w:val="24"/>
          <w:szCs w:val="24"/>
        </w:rPr>
        <w:t xml:space="preserve">Пациентов с симптоматическими стриктурами болезни Крона и сопутствующим воспалением (повышенный уровень </w:t>
      </w:r>
      <w:r w:rsidR="00AE60EE">
        <w:rPr>
          <w:sz w:val="24"/>
          <w:szCs w:val="24"/>
        </w:rPr>
        <w:t>ФК</w:t>
      </w:r>
      <w:r w:rsidRPr="00BA5D1F">
        <w:rPr>
          <w:sz w:val="24"/>
          <w:szCs w:val="24"/>
        </w:rPr>
        <w:t xml:space="preserve"> и СРБ) оценивали с помощью визуализации (УЗИ кишечника и МРТ) и илеоколоноскопии. Для клинической оценки использовали шкалу обструктивных симптомов (OSS). Пациенты были рандомизированы в соотношении 2:1 для индукции высокой дозы адалимумаба (160 мг еженедельно в течение 4 недель) с последующей дозой 40 мг два раза в неделю плюс тиопурин с увеличением дозы адалимумаба через 4 и/или 8 месяцев при наличии признаков продолжающегося воспаления по сравнению со стандартной дозой монотерапии адалимумабом. Первичной конечной точкой было улучшение OSS через 12 месяцев. </w:t>
      </w:r>
    </w:p>
    <w:p w14:paraId="06DD1CE3" w14:textId="4A4893B5" w:rsidR="00BA5D1F" w:rsidRDefault="00BA5D1F" w:rsidP="00BA5D1F">
      <w:pPr>
        <w:rPr>
          <w:sz w:val="24"/>
          <w:szCs w:val="24"/>
        </w:rPr>
      </w:pPr>
      <w:r w:rsidRPr="00BA5D1F">
        <w:rPr>
          <w:sz w:val="24"/>
          <w:szCs w:val="24"/>
        </w:rPr>
        <w:t>ПОЛУЧЕННЫЕ РЕЗУЛЬТАТЫ</w:t>
      </w:r>
      <w:r w:rsidR="001B3EB2">
        <w:rPr>
          <w:sz w:val="24"/>
          <w:szCs w:val="24"/>
        </w:rPr>
        <w:t xml:space="preserve">. </w:t>
      </w:r>
      <w:r w:rsidRPr="00BA5D1F">
        <w:rPr>
          <w:sz w:val="24"/>
          <w:szCs w:val="24"/>
        </w:rPr>
        <w:t>52 пациента были рандомизированы в группу интенсивного и 25 пациентов в группу стандартного лечения. 64/77 (83%) пациентов</w:t>
      </w:r>
      <w:r w:rsidR="005060D7">
        <w:rPr>
          <w:sz w:val="24"/>
          <w:szCs w:val="24"/>
        </w:rPr>
        <w:t xml:space="preserve"> прошли оценку</w:t>
      </w:r>
      <w:r w:rsidRPr="00BA5D1F">
        <w:rPr>
          <w:sz w:val="24"/>
          <w:szCs w:val="24"/>
        </w:rPr>
        <w:t xml:space="preserve"> через 12 месяцев</w:t>
      </w:r>
      <w:r w:rsidR="005060D7">
        <w:rPr>
          <w:sz w:val="24"/>
          <w:szCs w:val="24"/>
        </w:rPr>
        <w:t>.</w:t>
      </w:r>
      <w:r w:rsidRPr="00BA5D1F">
        <w:rPr>
          <w:sz w:val="24"/>
          <w:szCs w:val="24"/>
        </w:rPr>
        <w:t xml:space="preserve"> </w:t>
      </w:r>
      <w:r w:rsidRPr="00BA5D1F">
        <w:rPr>
          <w:sz w:val="24"/>
          <w:szCs w:val="24"/>
        </w:rPr>
        <w:lastRenderedPageBreak/>
        <w:t xml:space="preserve">Из них 59 (79,7%) продолжали принимать адалимумаб, 10 (13,5%) перешли на другой </w:t>
      </w:r>
      <w:r w:rsidR="005060D7">
        <w:rPr>
          <w:sz w:val="24"/>
          <w:szCs w:val="24"/>
        </w:rPr>
        <w:t>ГИБП</w:t>
      </w:r>
      <w:r w:rsidRPr="00BA5D1F">
        <w:rPr>
          <w:sz w:val="24"/>
          <w:szCs w:val="24"/>
        </w:rPr>
        <w:t xml:space="preserve"> и 5 (6,7%) прекратили биологическую терапию. Для пациентов, получавших адалимумаб через 12 месяцев, риск операции через 24 месяца составил 15%. Из пациентов, получавших адалимумаб в дозе 40 мг один раз в две недели в течение 12 месяцев, у 12 из 48 (25%) дозу повышали к 24 месяцам. Эндоскопическая баллонная дилатация, госпитализация или хирургическое вмешательство потребовались у 6 (8,1%), 14 (18,9%) и 13 (17,5%) соответственно; показатели не отличались между группами стандартного и интенсивного лечения (P = 0,982). Медиана времени до резекции кишечника составила 12,2 месяцев. У пациентов с клиническим ответом через 12 месяцев по сравнению с не ответившими на лечение вероятность операции через 24 месяца была ниже (9% против 42%, P = 0,003).</w:t>
      </w:r>
    </w:p>
    <w:p w14:paraId="1668F43D" w14:textId="3934F5A8" w:rsidR="006C11CF" w:rsidRPr="00BA5D1F" w:rsidRDefault="006C11CF" w:rsidP="00BA5D1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0C9420B" wp14:editId="7B66FE41">
            <wp:extent cx="41148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097F7" w14:textId="7D8E6CE6" w:rsidR="00BA5D1F" w:rsidRDefault="00BA5D1F" w:rsidP="00BA5D1F">
      <w:pPr>
        <w:rPr>
          <w:sz w:val="24"/>
          <w:szCs w:val="24"/>
        </w:rPr>
      </w:pPr>
      <w:r w:rsidRPr="00BA5D1F">
        <w:rPr>
          <w:sz w:val="24"/>
          <w:szCs w:val="24"/>
        </w:rPr>
        <w:t>ЗАКЛЮЧЕНИЕ</w:t>
      </w:r>
      <w:r w:rsidR="00236A7F">
        <w:rPr>
          <w:sz w:val="24"/>
          <w:szCs w:val="24"/>
        </w:rPr>
        <w:t xml:space="preserve">. </w:t>
      </w:r>
      <w:r w:rsidRPr="00BA5D1F">
        <w:rPr>
          <w:sz w:val="24"/>
          <w:szCs w:val="24"/>
        </w:rPr>
        <w:t>Клинический ответ на адалимумаб для структурир</w:t>
      </w:r>
      <w:r w:rsidR="00236A7F">
        <w:rPr>
          <w:sz w:val="24"/>
          <w:szCs w:val="24"/>
        </w:rPr>
        <w:t xml:space="preserve">ующей </w:t>
      </w:r>
      <w:r w:rsidR="00120792">
        <w:rPr>
          <w:sz w:val="24"/>
          <w:szCs w:val="24"/>
        </w:rPr>
        <w:t xml:space="preserve"> </w:t>
      </w:r>
      <w:r w:rsidRPr="00BA5D1F">
        <w:rPr>
          <w:sz w:val="24"/>
          <w:szCs w:val="24"/>
        </w:rPr>
        <w:t xml:space="preserve"> болезни Крона устойчив, при этом большинство пациентов продолжают принимать адалимумаб и избегают хирургического вмешательства в течение двух лет. Частота хирургических вмешательств не отличалась между группами стандартной и интенсивной терапии. Клинический ответ на адалимумаб через 12 месяцев является важным предиктором хирургического </w:t>
      </w:r>
      <w:r w:rsidR="006C11CF">
        <w:rPr>
          <w:sz w:val="24"/>
          <w:szCs w:val="24"/>
        </w:rPr>
        <w:t>вмешательства</w:t>
      </w:r>
      <w:r w:rsidRPr="00BA5D1F">
        <w:rPr>
          <w:sz w:val="24"/>
          <w:szCs w:val="24"/>
        </w:rPr>
        <w:t xml:space="preserve"> в будущем.</w:t>
      </w:r>
    </w:p>
    <w:p w14:paraId="724FFB8E" w14:textId="77777777" w:rsidR="002906FB" w:rsidRDefault="002906FB" w:rsidP="00BA5D1F">
      <w:pPr>
        <w:rPr>
          <w:sz w:val="24"/>
          <w:szCs w:val="24"/>
        </w:rPr>
      </w:pPr>
    </w:p>
    <w:p w14:paraId="1D4A0BE5" w14:textId="77777777" w:rsidR="002906FB" w:rsidRDefault="002906FB" w:rsidP="00BA5D1F">
      <w:pPr>
        <w:rPr>
          <w:sz w:val="24"/>
          <w:szCs w:val="24"/>
        </w:rPr>
      </w:pPr>
    </w:p>
    <w:p w14:paraId="5484AF40" w14:textId="692FC66C" w:rsidR="002906FB" w:rsidRPr="00D92A4C" w:rsidRDefault="002906FB" w:rsidP="00BA5D1F">
      <w:pPr>
        <w:rPr>
          <w:b/>
          <w:bCs/>
          <w:color w:val="4F81BD" w:themeColor="accent1"/>
          <w:sz w:val="32"/>
          <w:szCs w:val="32"/>
        </w:rPr>
      </w:pPr>
      <w:r w:rsidRPr="00D92A4C">
        <w:rPr>
          <w:b/>
          <w:bCs/>
          <w:color w:val="4F81BD" w:themeColor="accent1"/>
          <w:sz w:val="32"/>
          <w:szCs w:val="32"/>
        </w:rPr>
        <w:t xml:space="preserve">DOP82 Циклы биологического лечения болезни Крона </w:t>
      </w:r>
    </w:p>
    <w:p w14:paraId="0D390BDC" w14:textId="151BA59A" w:rsidR="00BC4053" w:rsidRPr="00D92A4C" w:rsidRDefault="00D92A4C" w:rsidP="00BA5D1F">
      <w:pPr>
        <w:rPr>
          <w:lang w:val="en-US"/>
        </w:rPr>
      </w:pPr>
      <w:r w:rsidRPr="00D92A4C">
        <w:rPr>
          <w:lang w:val="en-US"/>
        </w:rPr>
        <w:t>Noor, N.; Sousa, P.; Bettenworth, D.; Gomollon, F.; Lobaton, T</w:t>
      </w:r>
    </w:p>
    <w:p w14:paraId="7D803F75" w14:textId="3525EE28" w:rsidR="00BF649F" w:rsidRDefault="00BC4053" w:rsidP="00BF649F">
      <w:pPr>
        <w:ind w:firstLine="708"/>
        <w:rPr>
          <w:sz w:val="24"/>
          <w:szCs w:val="24"/>
        </w:rPr>
      </w:pPr>
      <w:r w:rsidRPr="00BC4053">
        <w:rPr>
          <w:sz w:val="24"/>
          <w:szCs w:val="24"/>
        </w:rPr>
        <w:t xml:space="preserve">В настоящее время растет число лицензированных биологических препаратов для пациентов с болезнью Крона, но, учитывая стоимость долгосрочного поддерживающего лечения, а также некоторые опасения по поводу потенциальных побочных эффектов, возрастает интерес к факультативному прекращению биологической терапии у отдельных пациентов после периода устойчивой ремиссии. После отмены, в случаях рецидива, ограниченные, но обнадеживающие данные свидетельствуют о том, что ремиссия часто может быть восстановлена ​​путем повторного лечения тем же биологическим агентом. Поэтому возникла концепция, в которой можно использовать циклы биологической терапии. Если бы эта стратегия лечения применялась в подгруппе пациентов с низким риском рецидива, циклическое лечение могло бы позволить снизить </w:t>
      </w:r>
      <w:r w:rsidRPr="00BC4053">
        <w:rPr>
          <w:sz w:val="24"/>
          <w:szCs w:val="24"/>
        </w:rPr>
        <w:lastRenderedPageBreak/>
        <w:t>общую экспозицию препарата, но при этом обеспечить надлежащий контроль над заболеванием. Однако в настоящее время остается неопределенность в отношении баланса пользы и риска при использовании циклов биологической терапии у пациентов с болезнью Крона.</w:t>
      </w:r>
    </w:p>
    <w:p w14:paraId="6D4B4A76" w14:textId="553B0FFD" w:rsidR="00BC4053" w:rsidRPr="00BC4053" w:rsidRDefault="00BF649F" w:rsidP="006B37AD">
      <w:pPr>
        <w:ind w:firstLine="708"/>
        <w:rPr>
          <w:sz w:val="24"/>
          <w:szCs w:val="24"/>
        </w:rPr>
      </w:pPr>
      <w:r>
        <w:rPr>
          <w:sz w:val="24"/>
          <w:szCs w:val="24"/>
        </w:rPr>
        <w:t>Г</w:t>
      </w:r>
      <w:r w:rsidRPr="00BC4053">
        <w:rPr>
          <w:sz w:val="24"/>
          <w:szCs w:val="24"/>
        </w:rPr>
        <w:t>рупп</w:t>
      </w:r>
      <w:r>
        <w:rPr>
          <w:sz w:val="24"/>
          <w:szCs w:val="24"/>
        </w:rPr>
        <w:t>а</w:t>
      </w:r>
      <w:r w:rsidRPr="00BC4053">
        <w:rPr>
          <w:sz w:val="24"/>
          <w:szCs w:val="24"/>
        </w:rPr>
        <w:t xml:space="preserve"> экспертов </w:t>
      </w:r>
      <w:r w:rsidR="00BC4053" w:rsidRPr="00BC4053">
        <w:rPr>
          <w:sz w:val="24"/>
          <w:szCs w:val="24"/>
        </w:rPr>
        <w:t xml:space="preserve">ECCO </w:t>
      </w:r>
      <w:r w:rsidR="00E25753" w:rsidRPr="00BC4053">
        <w:rPr>
          <w:sz w:val="24"/>
          <w:szCs w:val="24"/>
        </w:rPr>
        <w:t>разработа</w:t>
      </w:r>
      <w:r w:rsidR="00E25753">
        <w:rPr>
          <w:sz w:val="24"/>
          <w:szCs w:val="24"/>
        </w:rPr>
        <w:t>ла</w:t>
      </w:r>
      <w:r w:rsidR="00E25753" w:rsidRPr="00BC4053">
        <w:rPr>
          <w:sz w:val="24"/>
          <w:szCs w:val="24"/>
        </w:rPr>
        <w:t xml:space="preserve"> 14 консенсусных</w:t>
      </w:r>
      <w:r w:rsidR="00053A54">
        <w:rPr>
          <w:sz w:val="24"/>
          <w:szCs w:val="24"/>
        </w:rPr>
        <w:t xml:space="preserve"> заявлений</w:t>
      </w:r>
      <w:r w:rsidR="00BC4053" w:rsidRPr="00BC4053">
        <w:rPr>
          <w:sz w:val="24"/>
          <w:szCs w:val="24"/>
        </w:rPr>
        <w:t xml:space="preserve"> по теме циклов биологической </w:t>
      </w:r>
      <w:r w:rsidR="00E25753">
        <w:rPr>
          <w:sz w:val="24"/>
          <w:szCs w:val="24"/>
        </w:rPr>
        <w:t xml:space="preserve">терапии </w:t>
      </w:r>
      <w:r w:rsidR="00BC4053" w:rsidRPr="00BC4053">
        <w:rPr>
          <w:sz w:val="24"/>
          <w:szCs w:val="24"/>
        </w:rPr>
        <w:t>(биоциклирование)</w:t>
      </w:r>
      <w:r w:rsidR="006B37AD">
        <w:rPr>
          <w:sz w:val="24"/>
          <w:szCs w:val="24"/>
        </w:rPr>
        <w:t xml:space="preserve">, в которых </w:t>
      </w:r>
      <w:r w:rsidR="00BC4053" w:rsidRPr="00BC4053">
        <w:rPr>
          <w:sz w:val="24"/>
          <w:szCs w:val="24"/>
        </w:rPr>
        <w:t xml:space="preserve">оценивались различные аспекты прекращения и циклирования биологического лечения, включая риск рецидива после планового прекращения лечения, предикторы вероятного рецидива или ремиссии, безопасность, предпочтения пациентов и фармакоэкономические аспекты. </w:t>
      </w:r>
    </w:p>
    <w:p w14:paraId="78034572" w14:textId="77DC1C42" w:rsidR="00BC4053" w:rsidRPr="003C4558" w:rsidRDefault="00BC4053" w:rsidP="00BC4053">
      <w:pPr>
        <w:rPr>
          <w:sz w:val="24"/>
          <w:szCs w:val="24"/>
        </w:rPr>
      </w:pPr>
      <w:r w:rsidRPr="00BC4053">
        <w:rPr>
          <w:sz w:val="24"/>
          <w:szCs w:val="24"/>
        </w:rPr>
        <w:t>ЗАКЛЮЧЕНИЕ</w:t>
      </w:r>
      <w:r w:rsidR="003F5A19">
        <w:rPr>
          <w:sz w:val="24"/>
          <w:szCs w:val="24"/>
        </w:rPr>
        <w:t xml:space="preserve">. </w:t>
      </w:r>
      <w:r w:rsidRPr="00BC4053">
        <w:rPr>
          <w:sz w:val="24"/>
          <w:szCs w:val="24"/>
        </w:rPr>
        <w:t>При все большем внимании к предпочтениям пациентов, долгосрочной безопасности и затратам для некоторых пациентов с болезнью Крона в стадии ремиссии может быть рассмотрено прекращение</w:t>
      </w:r>
      <w:r w:rsidR="003F5A19">
        <w:rPr>
          <w:sz w:val="24"/>
          <w:szCs w:val="24"/>
        </w:rPr>
        <w:t xml:space="preserve"> </w:t>
      </w:r>
      <w:r w:rsidRPr="00BC4053">
        <w:rPr>
          <w:sz w:val="24"/>
          <w:szCs w:val="24"/>
        </w:rPr>
        <w:t xml:space="preserve">биологического лечения. В случае рецидива были получены обнадеживающие результаты при последующем повторном лечении тем же биологическим агентом. Тем не менее, существует потребность в дополнительных данных, подтверждающих </w:t>
      </w:r>
      <w:r w:rsidR="00591541">
        <w:rPr>
          <w:sz w:val="24"/>
          <w:szCs w:val="24"/>
        </w:rPr>
        <w:t xml:space="preserve">возможность </w:t>
      </w:r>
      <w:r w:rsidRPr="00BC4053">
        <w:rPr>
          <w:sz w:val="24"/>
          <w:szCs w:val="24"/>
        </w:rPr>
        <w:t>прекращени</w:t>
      </w:r>
      <w:r w:rsidR="00591541">
        <w:rPr>
          <w:sz w:val="24"/>
          <w:szCs w:val="24"/>
        </w:rPr>
        <w:t>я</w:t>
      </w:r>
      <w:r w:rsidRPr="00BC4053">
        <w:rPr>
          <w:sz w:val="24"/>
          <w:szCs w:val="24"/>
        </w:rPr>
        <w:t xml:space="preserve"> рутинного планового лечения и циклическ</w:t>
      </w:r>
      <w:r w:rsidR="00591541">
        <w:rPr>
          <w:sz w:val="24"/>
          <w:szCs w:val="24"/>
        </w:rPr>
        <w:t>ой терапии</w:t>
      </w:r>
      <w:r w:rsidRPr="00BC4053">
        <w:rPr>
          <w:sz w:val="24"/>
          <w:szCs w:val="24"/>
        </w:rPr>
        <w:t xml:space="preserve">, особенно для новых биологических агентов. </w:t>
      </w:r>
    </w:p>
    <w:p w14:paraId="74021D3E" w14:textId="77777777" w:rsidR="006829B9" w:rsidRPr="003C4558" w:rsidRDefault="006829B9" w:rsidP="00243616">
      <w:pPr>
        <w:ind w:firstLine="708"/>
        <w:rPr>
          <w:sz w:val="24"/>
          <w:szCs w:val="24"/>
        </w:rPr>
      </w:pPr>
    </w:p>
    <w:p w14:paraId="09945538" w14:textId="77777777" w:rsidR="006829B9" w:rsidRPr="003C4558" w:rsidRDefault="006829B9" w:rsidP="00243616">
      <w:pPr>
        <w:ind w:firstLine="708"/>
        <w:rPr>
          <w:sz w:val="24"/>
          <w:szCs w:val="24"/>
        </w:rPr>
      </w:pPr>
    </w:p>
    <w:p w14:paraId="041E9CFE" w14:textId="77777777" w:rsidR="006829B9" w:rsidRPr="003C4558" w:rsidRDefault="006829B9" w:rsidP="00243616">
      <w:pPr>
        <w:ind w:firstLine="708"/>
        <w:rPr>
          <w:sz w:val="24"/>
          <w:szCs w:val="24"/>
        </w:rPr>
      </w:pPr>
    </w:p>
    <w:p w14:paraId="3F32DDC4" w14:textId="77777777" w:rsidR="00DD6DAB" w:rsidRPr="003C4558" w:rsidRDefault="00DD6DAB" w:rsidP="00243616">
      <w:pPr>
        <w:ind w:firstLine="708"/>
        <w:rPr>
          <w:sz w:val="24"/>
          <w:szCs w:val="24"/>
        </w:rPr>
      </w:pPr>
    </w:p>
    <w:p w14:paraId="1663BBE6" w14:textId="23B757FF" w:rsidR="00A65970" w:rsidRPr="00A10B90" w:rsidRDefault="00A10B90" w:rsidP="00243616">
      <w:pPr>
        <w:ind w:firstLine="708"/>
        <w:rPr>
          <w:b/>
          <w:bCs/>
          <w:color w:val="4F81BD" w:themeColor="accent1"/>
          <w:sz w:val="32"/>
          <w:szCs w:val="32"/>
        </w:rPr>
      </w:pPr>
      <w:r w:rsidRPr="00A10B90">
        <w:rPr>
          <w:b/>
          <w:bCs/>
          <w:color w:val="4F81BD" w:themeColor="accent1"/>
          <w:sz w:val="32"/>
          <w:szCs w:val="32"/>
          <w:lang w:val="en-US"/>
        </w:rPr>
        <w:t>OP</w:t>
      </w:r>
      <w:r w:rsidRPr="00A10B90">
        <w:rPr>
          <w:b/>
          <w:bCs/>
          <w:color w:val="4F81BD" w:themeColor="accent1"/>
          <w:sz w:val="32"/>
          <w:szCs w:val="32"/>
        </w:rPr>
        <w:t>08 Заживление слизистой оболочки с помощью ведолизумаба у пациентов с хроническим резервуар</w:t>
      </w:r>
      <w:r w:rsidR="003213F1">
        <w:rPr>
          <w:b/>
          <w:bCs/>
          <w:color w:val="4F81BD" w:themeColor="accent1"/>
          <w:sz w:val="32"/>
          <w:szCs w:val="32"/>
        </w:rPr>
        <w:t>итом</w:t>
      </w:r>
      <w:r w:rsidRPr="00A10B90">
        <w:rPr>
          <w:b/>
          <w:bCs/>
          <w:color w:val="4F81BD" w:themeColor="accent1"/>
          <w:sz w:val="32"/>
          <w:szCs w:val="32"/>
        </w:rPr>
        <w:t xml:space="preserve">: данные рандомизированного двойного слепого плацебо-контролируемого исследования </w:t>
      </w:r>
      <w:r w:rsidRPr="00A10B90">
        <w:rPr>
          <w:b/>
          <w:bCs/>
          <w:color w:val="4F81BD" w:themeColor="accent1"/>
          <w:sz w:val="32"/>
          <w:szCs w:val="32"/>
          <w:lang w:val="en-US"/>
        </w:rPr>
        <w:t>EARNEST</w:t>
      </w:r>
    </w:p>
    <w:p w14:paraId="78C91CBD" w14:textId="64F49778" w:rsidR="0063306A" w:rsidRPr="00A65970" w:rsidRDefault="0063306A" w:rsidP="00243616">
      <w:pPr>
        <w:ind w:firstLine="708"/>
        <w:rPr>
          <w:sz w:val="20"/>
          <w:szCs w:val="20"/>
          <w:lang w:val="en-US"/>
        </w:rPr>
      </w:pPr>
      <w:r w:rsidRPr="00A65970">
        <w:rPr>
          <w:sz w:val="20"/>
          <w:szCs w:val="20"/>
          <w:lang w:val="en-US"/>
        </w:rPr>
        <w:t>Jairath, V.;Feagan, B.G;Silverberg, M.S;Danese, S;Gionchetti, P;Löwenberg, M;Bressler, B;Ferrante, M;Hart, A;Lindner, D;Escher, A;Jones, S;Shen, B;Travis, S</w:t>
      </w:r>
      <w:r w:rsidR="00A65970" w:rsidRPr="00A65970">
        <w:rPr>
          <w:sz w:val="20"/>
          <w:szCs w:val="20"/>
          <w:lang w:val="en-US"/>
        </w:rPr>
        <w:t>.</w:t>
      </w:r>
      <w:r w:rsidRPr="00A65970">
        <w:rPr>
          <w:sz w:val="20"/>
          <w:szCs w:val="20"/>
          <w:lang w:val="en-US"/>
        </w:rPr>
        <w:t xml:space="preserve"> </w:t>
      </w:r>
    </w:p>
    <w:p w14:paraId="4BA640AB" w14:textId="65738C62" w:rsidR="00DD6DAB" w:rsidRDefault="0083277B" w:rsidP="002865FE">
      <w:pPr>
        <w:ind w:firstLine="708"/>
        <w:rPr>
          <w:sz w:val="24"/>
          <w:szCs w:val="24"/>
        </w:rPr>
      </w:pPr>
      <w:r w:rsidRPr="0083277B">
        <w:rPr>
          <w:sz w:val="24"/>
          <w:szCs w:val="24"/>
        </w:rPr>
        <w:t xml:space="preserve">Всего 98 пациентов прошли эндоскопическое обследование (VDZ n=48; PBO n=50). </w:t>
      </w:r>
      <w:r w:rsidR="00092344">
        <w:rPr>
          <w:sz w:val="24"/>
          <w:szCs w:val="24"/>
        </w:rPr>
        <w:t>Наличие я</w:t>
      </w:r>
      <w:r w:rsidRPr="0083277B">
        <w:rPr>
          <w:sz w:val="24"/>
          <w:szCs w:val="24"/>
        </w:rPr>
        <w:t>зв/эрози</w:t>
      </w:r>
      <w:r w:rsidR="00092344">
        <w:rPr>
          <w:sz w:val="24"/>
          <w:szCs w:val="24"/>
        </w:rPr>
        <w:t>й</w:t>
      </w:r>
      <w:r w:rsidRPr="0083277B">
        <w:rPr>
          <w:sz w:val="24"/>
          <w:szCs w:val="24"/>
        </w:rPr>
        <w:t xml:space="preserve"> </w:t>
      </w:r>
      <w:r w:rsidR="00092344" w:rsidRPr="0083277B">
        <w:rPr>
          <w:sz w:val="24"/>
          <w:szCs w:val="24"/>
        </w:rPr>
        <w:t xml:space="preserve">на исходном уровне </w:t>
      </w:r>
      <w:r w:rsidRPr="0083277B">
        <w:rPr>
          <w:sz w:val="24"/>
          <w:szCs w:val="24"/>
        </w:rPr>
        <w:t>был</w:t>
      </w:r>
      <w:r w:rsidR="00092344">
        <w:rPr>
          <w:sz w:val="24"/>
          <w:szCs w:val="24"/>
        </w:rPr>
        <w:t>о</w:t>
      </w:r>
      <w:r w:rsidRPr="0083277B">
        <w:rPr>
          <w:sz w:val="24"/>
          <w:szCs w:val="24"/>
        </w:rPr>
        <w:t xml:space="preserve"> выше у пациентов </w:t>
      </w:r>
      <w:r w:rsidR="00092344">
        <w:rPr>
          <w:sz w:val="24"/>
          <w:szCs w:val="24"/>
        </w:rPr>
        <w:t>на</w:t>
      </w:r>
      <w:r w:rsidRPr="0083277B">
        <w:rPr>
          <w:sz w:val="24"/>
          <w:szCs w:val="24"/>
        </w:rPr>
        <w:t xml:space="preserve"> VDZ с большим снижением </w:t>
      </w:r>
      <w:r w:rsidR="00092344">
        <w:rPr>
          <w:sz w:val="24"/>
          <w:szCs w:val="24"/>
        </w:rPr>
        <w:t xml:space="preserve">к </w:t>
      </w:r>
      <w:r w:rsidR="002865FE">
        <w:rPr>
          <w:sz w:val="24"/>
          <w:szCs w:val="24"/>
        </w:rPr>
        <w:t xml:space="preserve">14 и 34 </w:t>
      </w:r>
      <w:r w:rsidR="00092344">
        <w:rPr>
          <w:sz w:val="24"/>
          <w:szCs w:val="24"/>
        </w:rPr>
        <w:t>недел</w:t>
      </w:r>
      <w:r w:rsidR="002865FE">
        <w:rPr>
          <w:sz w:val="24"/>
          <w:szCs w:val="24"/>
        </w:rPr>
        <w:t>ям</w:t>
      </w:r>
      <w:r w:rsidRPr="0083277B">
        <w:rPr>
          <w:sz w:val="24"/>
          <w:szCs w:val="24"/>
        </w:rPr>
        <w:t xml:space="preserve"> по сравнению с PBO. У большего количества пациентов, получавших VDZ, по сравнению с PBO, было достигнуто уменьшение площади изъязвленной поверхности, полное отсутствие изъязвлений/эрозий и ремиссии. На 14 </w:t>
      </w:r>
      <w:r w:rsidR="00285BAB">
        <w:rPr>
          <w:sz w:val="24"/>
          <w:szCs w:val="24"/>
        </w:rPr>
        <w:t xml:space="preserve">неделе </w:t>
      </w:r>
      <w:r w:rsidRPr="0083277B">
        <w:rPr>
          <w:sz w:val="24"/>
          <w:szCs w:val="24"/>
        </w:rPr>
        <w:t xml:space="preserve">16,7% пациентов имели </w:t>
      </w:r>
      <w:r w:rsidR="00285BAB">
        <w:rPr>
          <w:sz w:val="24"/>
          <w:szCs w:val="24"/>
        </w:rPr>
        <w:t>заживление слизистой</w:t>
      </w:r>
      <w:r w:rsidRPr="0083277B">
        <w:rPr>
          <w:sz w:val="24"/>
          <w:szCs w:val="24"/>
        </w:rPr>
        <w:t xml:space="preserve"> на VDZ по сравнению с 2,5%</w:t>
      </w:r>
      <w:r w:rsidR="00285BAB">
        <w:rPr>
          <w:sz w:val="24"/>
          <w:szCs w:val="24"/>
        </w:rPr>
        <w:t xml:space="preserve"> </w:t>
      </w:r>
      <w:r w:rsidRPr="0083277B">
        <w:rPr>
          <w:sz w:val="24"/>
          <w:szCs w:val="24"/>
        </w:rPr>
        <w:t xml:space="preserve">на PBO. </w:t>
      </w:r>
    </w:p>
    <w:p w14:paraId="4B855C5A" w14:textId="5F2B903F" w:rsidR="00B86240" w:rsidRDefault="00B86240" w:rsidP="00B86240">
      <w:pPr>
        <w:ind w:firstLine="708"/>
        <w:rPr>
          <w:sz w:val="24"/>
          <w:szCs w:val="24"/>
        </w:rPr>
      </w:pPr>
      <w:r w:rsidRPr="00B86240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: </w:t>
      </w:r>
      <w:r w:rsidR="00285BAB">
        <w:rPr>
          <w:sz w:val="24"/>
          <w:szCs w:val="24"/>
        </w:rPr>
        <w:t>терапия ведолизумабом</w:t>
      </w:r>
      <w:r w:rsidRPr="00B86240">
        <w:rPr>
          <w:sz w:val="24"/>
          <w:szCs w:val="24"/>
        </w:rPr>
        <w:t xml:space="preserve"> был</w:t>
      </w:r>
      <w:r w:rsidR="00285BAB">
        <w:rPr>
          <w:sz w:val="24"/>
          <w:szCs w:val="24"/>
        </w:rPr>
        <w:t>а</w:t>
      </w:r>
      <w:r w:rsidRPr="00B86240">
        <w:rPr>
          <w:sz w:val="24"/>
          <w:szCs w:val="24"/>
        </w:rPr>
        <w:t xml:space="preserve"> связан</w:t>
      </w:r>
      <w:r w:rsidR="00285BAB">
        <w:rPr>
          <w:sz w:val="24"/>
          <w:szCs w:val="24"/>
        </w:rPr>
        <w:t>а</w:t>
      </w:r>
      <w:r w:rsidRPr="00B86240">
        <w:rPr>
          <w:sz w:val="24"/>
          <w:szCs w:val="24"/>
        </w:rPr>
        <w:t xml:space="preserve"> с лучшим контролем маркеров воспаления по сравнению с PBO, улучшени</w:t>
      </w:r>
      <w:r w:rsidR="00D02001">
        <w:rPr>
          <w:sz w:val="24"/>
          <w:szCs w:val="24"/>
        </w:rPr>
        <w:t>ем</w:t>
      </w:r>
      <w:r w:rsidRPr="00B86240">
        <w:rPr>
          <w:sz w:val="24"/>
          <w:szCs w:val="24"/>
        </w:rPr>
        <w:t xml:space="preserve"> эндоскопических </w:t>
      </w:r>
      <w:r w:rsidR="002659D9">
        <w:rPr>
          <w:sz w:val="24"/>
          <w:szCs w:val="24"/>
        </w:rPr>
        <w:t xml:space="preserve">и </w:t>
      </w:r>
      <w:r w:rsidRPr="00B86240">
        <w:rPr>
          <w:sz w:val="24"/>
          <w:szCs w:val="24"/>
        </w:rPr>
        <w:t xml:space="preserve">гистологических результатов в слизистой оболочке </w:t>
      </w:r>
      <w:r w:rsidR="00D02001">
        <w:rPr>
          <w:sz w:val="24"/>
          <w:szCs w:val="24"/>
        </w:rPr>
        <w:t>резервуара</w:t>
      </w:r>
      <w:r w:rsidRPr="00B86240">
        <w:rPr>
          <w:sz w:val="24"/>
          <w:szCs w:val="24"/>
        </w:rPr>
        <w:t xml:space="preserve">, а также улучшенных результатах, о которых сообщили пациенты. </w:t>
      </w:r>
    </w:p>
    <w:p w14:paraId="2845FA81" w14:textId="77777777" w:rsidR="00D02001" w:rsidRDefault="00D02001" w:rsidP="00B86240">
      <w:pPr>
        <w:ind w:firstLine="708"/>
        <w:rPr>
          <w:sz w:val="24"/>
          <w:szCs w:val="24"/>
        </w:rPr>
      </w:pPr>
    </w:p>
    <w:p w14:paraId="423A9524" w14:textId="77777777" w:rsidR="00F45206" w:rsidRDefault="00F45206" w:rsidP="00B86240">
      <w:pPr>
        <w:ind w:firstLine="708"/>
        <w:rPr>
          <w:sz w:val="24"/>
          <w:szCs w:val="24"/>
        </w:rPr>
      </w:pPr>
    </w:p>
    <w:p w14:paraId="0A2756F7" w14:textId="58E7E0E6" w:rsidR="00D02001" w:rsidRDefault="00597652" w:rsidP="00B86240">
      <w:pPr>
        <w:ind w:firstLine="708"/>
        <w:rPr>
          <w:b/>
          <w:bCs/>
          <w:color w:val="4F81BD" w:themeColor="accent1"/>
          <w:sz w:val="32"/>
          <w:szCs w:val="32"/>
        </w:rPr>
      </w:pPr>
      <w:r w:rsidRPr="00597652">
        <w:rPr>
          <w:b/>
          <w:bCs/>
          <w:color w:val="4F81BD" w:themeColor="accent1"/>
          <w:sz w:val="32"/>
          <w:szCs w:val="32"/>
        </w:rPr>
        <w:lastRenderedPageBreak/>
        <w:t>OP09 Частота долгосрочных колэктомий за 40 лет различных терапевтических эпох — результаты ис</w:t>
      </w:r>
      <w:r>
        <w:rPr>
          <w:b/>
          <w:bCs/>
          <w:color w:val="4F81BD" w:themeColor="accent1"/>
          <w:sz w:val="32"/>
          <w:szCs w:val="32"/>
        </w:rPr>
        <w:t>следования</w:t>
      </w:r>
      <w:r w:rsidRPr="00597652">
        <w:rPr>
          <w:b/>
          <w:bCs/>
          <w:color w:val="4F81BD" w:themeColor="accent1"/>
          <w:sz w:val="32"/>
          <w:szCs w:val="32"/>
        </w:rPr>
        <w:t xml:space="preserve"> когорты </w:t>
      </w:r>
      <w:r>
        <w:rPr>
          <w:b/>
          <w:bCs/>
          <w:color w:val="4F81BD" w:themeColor="accent1"/>
          <w:sz w:val="32"/>
          <w:szCs w:val="32"/>
        </w:rPr>
        <w:t xml:space="preserve">пациентов с ЯК в </w:t>
      </w:r>
      <w:r w:rsidRPr="00597652">
        <w:rPr>
          <w:b/>
          <w:bCs/>
          <w:color w:val="4F81BD" w:themeColor="accent1"/>
          <w:sz w:val="32"/>
          <w:szCs w:val="32"/>
        </w:rPr>
        <w:t>Западной Венгрии в период с 1977 по 2020 гг.</w:t>
      </w:r>
    </w:p>
    <w:p w14:paraId="317C1D57" w14:textId="5E07DDF7" w:rsidR="00597652" w:rsidRPr="00AD005E" w:rsidRDefault="00B43F93" w:rsidP="00B86240">
      <w:pPr>
        <w:ind w:firstLine="708"/>
        <w:rPr>
          <w:lang w:val="en-US"/>
        </w:rPr>
      </w:pPr>
      <w:r w:rsidRPr="00B43F93">
        <w:rPr>
          <w:lang w:val="en-US"/>
        </w:rPr>
        <w:t>Lakatos, P.L.;Gonczi, L.;Lakatos, L.;Golovics, P.A.;Pandur, T.;David, G.;Erdelyi, Z.;Szita , I.</w:t>
      </w:r>
      <w:r w:rsidR="00AD005E" w:rsidRPr="00AD005E">
        <w:rPr>
          <w:lang w:val="en-US"/>
        </w:rPr>
        <w:t>.</w:t>
      </w:r>
    </w:p>
    <w:p w14:paraId="7050A3FC" w14:textId="2670DAB2" w:rsidR="0066089A" w:rsidRDefault="0066089A" w:rsidP="00B86240">
      <w:pPr>
        <w:ind w:firstLine="708"/>
        <w:rPr>
          <w:sz w:val="24"/>
          <w:szCs w:val="24"/>
        </w:rPr>
      </w:pPr>
      <w:r w:rsidRPr="0066089A">
        <w:rPr>
          <w:sz w:val="24"/>
          <w:szCs w:val="24"/>
        </w:rPr>
        <w:t>Были проанализированы данные 1370 пациентов с ЯК со средним периодом наблюдения 17 лет. Общая частота колэктомий составила 76/1370 пациентов за все время наблюдения.</w:t>
      </w:r>
      <w:r w:rsidR="0064698F" w:rsidRPr="0064698F">
        <w:t xml:space="preserve"> </w:t>
      </w:r>
      <w:r w:rsidR="0064698F" w:rsidRPr="0064698F">
        <w:rPr>
          <w:sz w:val="24"/>
          <w:szCs w:val="24"/>
        </w:rPr>
        <w:t>Частота колэктомий и течение заболевания изучались в тр</w:t>
      </w:r>
      <w:r w:rsidR="00AB4C6B">
        <w:rPr>
          <w:sz w:val="24"/>
          <w:szCs w:val="24"/>
        </w:rPr>
        <w:t>ех</w:t>
      </w:r>
      <w:r w:rsidR="0064698F" w:rsidRPr="0064698F">
        <w:rPr>
          <w:sz w:val="24"/>
          <w:szCs w:val="24"/>
        </w:rPr>
        <w:t xml:space="preserve"> разны</w:t>
      </w:r>
      <w:r w:rsidR="00AB4C6B">
        <w:rPr>
          <w:sz w:val="24"/>
          <w:szCs w:val="24"/>
        </w:rPr>
        <w:t>х</w:t>
      </w:r>
      <w:r w:rsidR="0064698F" w:rsidRPr="0064698F">
        <w:rPr>
          <w:sz w:val="24"/>
          <w:szCs w:val="24"/>
        </w:rPr>
        <w:t xml:space="preserve"> </w:t>
      </w:r>
      <w:r w:rsidR="0064698F">
        <w:rPr>
          <w:sz w:val="24"/>
          <w:szCs w:val="24"/>
        </w:rPr>
        <w:t>врем</w:t>
      </w:r>
      <w:r w:rsidR="00AB4C6B">
        <w:rPr>
          <w:sz w:val="24"/>
          <w:szCs w:val="24"/>
        </w:rPr>
        <w:t>енных периодах</w:t>
      </w:r>
      <w:r w:rsidR="0064698F" w:rsidRPr="0064698F">
        <w:rPr>
          <w:sz w:val="24"/>
          <w:szCs w:val="24"/>
        </w:rPr>
        <w:t xml:space="preserve"> в зависимости от времени постановки диагноза ЯК; когорта A (1977–1995 гг.), когорта B (1996–2008 гг.) и когорта C (2009–2018 гг.).</w:t>
      </w:r>
    </w:p>
    <w:p w14:paraId="4BA779F3" w14:textId="147DCE33" w:rsidR="00C041B6" w:rsidRDefault="0066089A" w:rsidP="00B86240">
      <w:pPr>
        <w:ind w:firstLine="708"/>
        <w:rPr>
          <w:sz w:val="24"/>
          <w:szCs w:val="24"/>
        </w:rPr>
      </w:pPr>
      <w:r w:rsidRPr="0066089A">
        <w:rPr>
          <w:sz w:val="24"/>
          <w:szCs w:val="24"/>
        </w:rPr>
        <w:t xml:space="preserve">Доля распространенного колита на момент постановки диагноза увеличивалась со временем (24,2%/24,3%/34,9% в когортах </w:t>
      </w:r>
      <w:r w:rsidRPr="0066089A">
        <w:rPr>
          <w:sz w:val="24"/>
          <w:szCs w:val="24"/>
          <w:lang w:val="en-US"/>
        </w:rPr>
        <w:t>A</w:t>
      </w:r>
      <w:r w:rsidRPr="0066089A">
        <w:rPr>
          <w:sz w:val="24"/>
          <w:szCs w:val="24"/>
        </w:rPr>
        <w:t>/</w:t>
      </w:r>
      <w:r w:rsidRPr="0066089A">
        <w:rPr>
          <w:sz w:val="24"/>
          <w:szCs w:val="24"/>
          <w:lang w:val="en-US"/>
        </w:rPr>
        <w:t>B</w:t>
      </w:r>
      <w:r w:rsidRPr="0066089A">
        <w:rPr>
          <w:sz w:val="24"/>
          <w:szCs w:val="24"/>
        </w:rPr>
        <w:t>/</w:t>
      </w:r>
      <w:r w:rsidRPr="0066089A">
        <w:rPr>
          <w:sz w:val="24"/>
          <w:szCs w:val="24"/>
          <w:lang w:val="en-US"/>
        </w:rPr>
        <w:t>C</w:t>
      </w:r>
      <w:r w:rsidRPr="0066089A">
        <w:rPr>
          <w:sz w:val="24"/>
          <w:szCs w:val="24"/>
        </w:rPr>
        <w:t xml:space="preserve">; </w:t>
      </w:r>
      <w:r w:rsidRPr="0066089A">
        <w:rPr>
          <w:sz w:val="24"/>
          <w:szCs w:val="24"/>
          <w:lang w:val="en-US"/>
        </w:rPr>
        <w:t>p</w:t>
      </w:r>
      <w:r w:rsidRPr="0066089A">
        <w:rPr>
          <w:sz w:val="24"/>
          <w:szCs w:val="24"/>
        </w:rPr>
        <w:t>=0,001)</w:t>
      </w:r>
      <w:r w:rsidR="00B7018E">
        <w:rPr>
          <w:sz w:val="24"/>
          <w:szCs w:val="24"/>
        </w:rPr>
        <w:t>, так же, как и частота</w:t>
      </w:r>
      <w:r w:rsidRPr="0066089A">
        <w:rPr>
          <w:sz w:val="24"/>
          <w:szCs w:val="24"/>
        </w:rPr>
        <w:t xml:space="preserve"> иммуносупрессивной терап</w:t>
      </w:r>
      <w:r w:rsidR="00D13264">
        <w:rPr>
          <w:sz w:val="24"/>
          <w:szCs w:val="24"/>
        </w:rPr>
        <w:t xml:space="preserve">ии - </w:t>
      </w:r>
      <w:r w:rsidRPr="0066089A">
        <w:rPr>
          <w:sz w:val="24"/>
          <w:szCs w:val="24"/>
        </w:rPr>
        <w:t xml:space="preserve">(11,3%/20,9%/34,4%; </w:t>
      </w:r>
      <w:r w:rsidRPr="0066089A">
        <w:rPr>
          <w:sz w:val="24"/>
          <w:szCs w:val="24"/>
          <w:lang w:val="en-US"/>
        </w:rPr>
        <w:t>p</w:t>
      </w:r>
      <w:r w:rsidRPr="0066089A">
        <w:rPr>
          <w:sz w:val="24"/>
          <w:szCs w:val="24"/>
        </w:rPr>
        <w:t xml:space="preserve">&lt;0,001), </w:t>
      </w:r>
      <w:r w:rsidR="00AB4C6B">
        <w:rPr>
          <w:sz w:val="24"/>
          <w:szCs w:val="24"/>
        </w:rPr>
        <w:t>и</w:t>
      </w:r>
      <w:r w:rsidRPr="0066089A">
        <w:rPr>
          <w:sz w:val="24"/>
          <w:szCs w:val="24"/>
        </w:rPr>
        <w:t xml:space="preserve"> вероятность начала биологической терапии в течение 5 лет после постановки диагноза</w:t>
      </w:r>
      <w:r w:rsidR="00D13264">
        <w:rPr>
          <w:sz w:val="24"/>
          <w:szCs w:val="24"/>
        </w:rPr>
        <w:t xml:space="preserve">. </w:t>
      </w:r>
      <w:r w:rsidRPr="0066089A">
        <w:rPr>
          <w:sz w:val="24"/>
          <w:szCs w:val="24"/>
        </w:rPr>
        <w:t>Не было существенной разницы в кумулятивной вероятности прогрессирования заболевания от проктита до левостороннего колита/</w:t>
      </w:r>
      <w:r w:rsidR="00D13264">
        <w:rPr>
          <w:sz w:val="24"/>
          <w:szCs w:val="24"/>
        </w:rPr>
        <w:t>пан</w:t>
      </w:r>
      <w:r w:rsidRPr="0066089A">
        <w:rPr>
          <w:sz w:val="24"/>
          <w:szCs w:val="24"/>
        </w:rPr>
        <w:t xml:space="preserve">колита или от левостороннего колита до </w:t>
      </w:r>
      <w:r w:rsidR="00C041B6">
        <w:rPr>
          <w:sz w:val="24"/>
          <w:szCs w:val="24"/>
        </w:rPr>
        <w:t>пан</w:t>
      </w:r>
      <w:r w:rsidRPr="0066089A">
        <w:rPr>
          <w:sz w:val="24"/>
          <w:szCs w:val="24"/>
        </w:rPr>
        <w:t>колита</w:t>
      </w:r>
      <w:r w:rsidR="00C041B6">
        <w:rPr>
          <w:sz w:val="24"/>
          <w:szCs w:val="24"/>
        </w:rPr>
        <w:t>.</w:t>
      </w:r>
      <w:r w:rsidRPr="0066089A">
        <w:rPr>
          <w:sz w:val="24"/>
          <w:szCs w:val="24"/>
        </w:rPr>
        <w:t xml:space="preserve"> </w:t>
      </w:r>
    </w:p>
    <w:p w14:paraId="118B48E7" w14:textId="4CA25AA4" w:rsidR="0030560A" w:rsidRDefault="0030560A" w:rsidP="00B86240">
      <w:pPr>
        <w:ind w:firstLine="708"/>
        <w:rPr>
          <w:sz w:val="24"/>
          <w:szCs w:val="24"/>
        </w:rPr>
      </w:pPr>
      <w:r w:rsidRPr="0030560A">
        <w:rPr>
          <w:sz w:val="24"/>
          <w:szCs w:val="24"/>
        </w:rPr>
        <w:t>Кумулятивная вероятность колэктомии в общей популяции составила 4,1±0,6% через 10 лет, 6,3±0,8% через 20 лет и 8,8±1,2% через 30 лет. Статистически значимых различий в кумулятивной вероятности колэктомий между когортами А/В/С не было: 1,7±0,7%/2,2±0,6%/3,7±1,0% через 5 лет; 3,5±1,0%/3,9±0,8%/4,5±1,2% через 10 лет; и 6,9±1,4%/5,3±1,0% (группы A/B) через 20 лет.</w:t>
      </w:r>
    </w:p>
    <w:p w14:paraId="0691D20D" w14:textId="77777777" w:rsidR="00F45206" w:rsidRDefault="00F45206" w:rsidP="00B86240">
      <w:pPr>
        <w:ind w:firstLine="708"/>
        <w:rPr>
          <w:sz w:val="24"/>
          <w:szCs w:val="24"/>
        </w:rPr>
      </w:pPr>
    </w:p>
    <w:p w14:paraId="3A58BB3E" w14:textId="77777777" w:rsidR="0030560A" w:rsidRDefault="0030560A" w:rsidP="00B86240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134F419" wp14:editId="1F0246E6">
            <wp:extent cx="6186805" cy="2205481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57" cy="22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B4F08" w14:textId="22963430" w:rsidR="00F45206" w:rsidRDefault="00F45206" w:rsidP="00F45206">
      <w:pPr>
        <w:ind w:firstLine="708"/>
        <w:rPr>
          <w:sz w:val="24"/>
          <w:szCs w:val="24"/>
        </w:rPr>
      </w:pPr>
      <w:r w:rsidRPr="00F45206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: </w:t>
      </w:r>
      <w:r w:rsidRPr="00F45206">
        <w:rPr>
          <w:sz w:val="24"/>
          <w:szCs w:val="24"/>
        </w:rPr>
        <w:t>Никаких различий в прогрессировании заболевания и частоте колэктомии не наблюдалось у пациентов с ЯК в течение 40 лет, несмотря на более широкое использование иммуномодуляторов и биологической терапии.</w:t>
      </w:r>
    </w:p>
    <w:p w14:paraId="22D1FE0F" w14:textId="77777777" w:rsidR="00A45179" w:rsidRDefault="00A45179" w:rsidP="00F45206">
      <w:pPr>
        <w:ind w:firstLine="708"/>
        <w:rPr>
          <w:sz w:val="24"/>
          <w:szCs w:val="24"/>
        </w:rPr>
      </w:pPr>
    </w:p>
    <w:p w14:paraId="0CBF21EE" w14:textId="77777777" w:rsidR="00A45179" w:rsidRPr="00863E25" w:rsidRDefault="00A45179" w:rsidP="00F45206">
      <w:pPr>
        <w:ind w:firstLine="708"/>
        <w:rPr>
          <w:sz w:val="24"/>
          <w:szCs w:val="24"/>
        </w:rPr>
      </w:pPr>
    </w:p>
    <w:p w14:paraId="692F5C02" w14:textId="77777777" w:rsidR="005F43A7" w:rsidRPr="00863E25" w:rsidRDefault="005F43A7" w:rsidP="00F45206">
      <w:pPr>
        <w:ind w:firstLine="708"/>
        <w:rPr>
          <w:sz w:val="24"/>
          <w:szCs w:val="24"/>
        </w:rPr>
      </w:pPr>
    </w:p>
    <w:p w14:paraId="14357003" w14:textId="0C6FC711" w:rsidR="005F43A7" w:rsidRDefault="00DE3ACE" w:rsidP="00F45206">
      <w:pPr>
        <w:ind w:firstLine="708"/>
        <w:rPr>
          <w:b/>
          <w:bCs/>
          <w:color w:val="4F81BD" w:themeColor="accent1"/>
          <w:sz w:val="32"/>
          <w:szCs w:val="32"/>
        </w:rPr>
      </w:pPr>
      <w:r w:rsidRPr="00C165E9">
        <w:rPr>
          <w:b/>
          <w:bCs/>
          <w:color w:val="4F81BD" w:themeColor="accent1"/>
          <w:sz w:val="32"/>
          <w:szCs w:val="32"/>
          <w:lang w:val="en-US"/>
        </w:rPr>
        <w:lastRenderedPageBreak/>
        <w:t>OP</w:t>
      </w:r>
      <w:r w:rsidRPr="00C165E9">
        <w:rPr>
          <w:b/>
          <w:bCs/>
          <w:color w:val="4F81BD" w:themeColor="accent1"/>
          <w:sz w:val="32"/>
          <w:szCs w:val="32"/>
        </w:rPr>
        <w:t>22 Риск развития рака при иммуноопосредованных воспалительных заболевания</w:t>
      </w:r>
      <w:r w:rsidR="0026795D">
        <w:rPr>
          <w:b/>
          <w:bCs/>
          <w:color w:val="4F81BD" w:themeColor="accent1"/>
          <w:sz w:val="32"/>
          <w:szCs w:val="32"/>
          <w:lang w:val="en-US"/>
        </w:rPr>
        <w:t>x</w:t>
      </w:r>
      <w:r w:rsidR="0026795D">
        <w:rPr>
          <w:b/>
          <w:bCs/>
          <w:color w:val="4F81BD" w:themeColor="accent1"/>
          <w:sz w:val="32"/>
          <w:szCs w:val="32"/>
        </w:rPr>
        <w:t xml:space="preserve">, начавшихся </w:t>
      </w:r>
      <w:r w:rsidR="00323A57">
        <w:rPr>
          <w:b/>
          <w:bCs/>
          <w:color w:val="4F81BD" w:themeColor="accent1"/>
          <w:sz w:val="32"/>
          <w:szCs w:val="32"/>
        </w:rPr>
        <w:t>до 18 лет</w:t>
      </w:r>
      <w:r w:rsidRPr="00C165E9">
        <w:rPr>
          <w:b/>
          <w:bCs/>
          <w:color w:val="4F81BD" w:themeColor="accent1"/>
          <w:sz w:val="32"/>
          <w:szCs w:val="32"/>
        </w:rPr>
        <w:t xml:space="preserve"> — общенациональное датское исследование 1980–2018 гг.</w:t>
      </w:r>
    </w:p>
    <w:p w14:paraId="01DA4421" w14:textId="3FDCC165" w:rsidR="00EC3877" w:rsidRPr="00EC3877" w:rsidRDefault="00EC3877" w:rsidP="00F45206">
      <w:pPr>
        <w:ind w:firstLine="708"/>
        <w:rPr>
          <w:lang w:val="en-US"/>
        </w:rPr>
      </w:pPr>
      <w:r w:rsidRPr="00EC3877">
        <w:rPr>
          <w:lang w:val="en-US"/>
        </w:rPr>
        <w:t>Ehrström, A.; Jansson, S.; Malham, M.; Wewer, V.</w:t>
      </w:r>
    </w:p>
    <w:p w14:paraId="457CB349" w14:textId="77777777" w:rsidR="00F8472E" w:rsidRDefault="00323A57" w:rsidP="00F8472E">
      <w:pPr>
        <w:ind w:firstLine="708"/>
        <w:rPr>
          <w:sz w:val="24"/>
          <w:szCs w:val="24"/>
        </w:rPr>
      </w:pPr>
      <w:r>
        <w:rPr>
          <w:sz w:val="24"/>
          <w:szCs w:val="24"/>
        </w:rPr>
        <w:t>Изучена когорта пациентов</w:t>
      </w:r>
      <w:r w:rsidR="005F43A7" w:rsidRPr="005F43A7">
        <w:rPr>
          <w:sz w:val="24"/>
          <w:szCs w:val="24"/>
        </w:rPr>
        <w:t xml:space="preserve">, зарегистрированных в Датском национальном реестре с одним или несколькими из следующих диагнозов: </w:t>
      </w:r>
      <w:r w:rsidR="00C900E8">
        <w:rPr>
          <w:sz w:val="24"/>
          <w:szCs w:val="24"/>
        </w:rPr>
        <w:t>ВЗК</w:t>
      </w:r>
      <w:r w:rsidR="005F43A7" w:rsidRPr="005F43A7">
        <w:rPr>
          <w:sz w:val="24"/>
          <w:szCs w:val="24"/>
        </w:rPr>
        <w:t>, ревматическое заболевание (</w:t>
      </w:r>
      <w:r w:rsidR="0016628F">
        <w:rPr>
          <w:sz w:val="24"/>
          <w:szCs w:val="24"/>
        </w:rPr>
        <w:t>РЗ</w:t>
      </w:r>
      <w:r w:rsidR="005F43A7" w:rsidRPr="005F43A7">
        <w:rPr>
          <w:sz w:val="24"/>
          <w:szCs w:val="24"/>
        </w:rPr>
        <w:t>) или аутоиммунное идиопатическое заболевание печени (</w:t>
      </w:r>
      <w:r w:rsidR="0016628F">
        <w:rPr>
          <w:sz w:val="24"/>
          <w:szCs w:val="24"/>
        </w:rPr>
        <w:t>АИЗП</w:t>
      </w:r>
      <w:r w:rsidR="005F43A7" w:rsidRPr="005F43A7">
        <w:rPr>
          <w:sz w:val="24"/>
          <w:szCs w:val="24"/>
        </w:rPr>
        <w:t>)</w:t>
      </w:r>
      <w:r w:rsidR="00F8472E">
        <w:rPr>
          <w:sz w:val="24"/>
          <w:szCs w:val="24"/>
        </w:rPr>
        <w:t>, диагностированных</w:t>
      </w:r>
      <w:r w:rsidR="005F43A7" w:rsidRPr="005F43A7">
        <w:rPr>
          <w:sz w:val="24"/>
          <w:szCs w:val="24"/>
        </w:rPr>
        <w:t xml:space="preserve"> до достижения ими 18-летнего возраста. Каждый случай был сопоставлен с 10 контролями из фоновой популяции. </w:t>
      </w:r>
    </w:p>
    <w:p w14:paraId="68BC9933" w14:textId="73C4B235" w:rsidR="003E29F3" w:rsidRDefault="00C23771" w:rsidP="003E29F3">
      <w:pPr>
        <w:ind w:firstLine="708"/>
        <w:rPr>
          <w:sz w:val="24"/>
          <w:szCs w:val="24"/>
        </w:rPr>
      </w:pPr>
      <w:r>
        <w:rPr>
          <w:sz w:val="24"/>
          <w:szCs w:val="24"/>
        </w:rPr>
        <w:t>В</w:t>
      </w:r>
      <w:r w:rsidRPr="005F43A7">
        <w:rPr>
          <w:sz w:val="24"/>
          <w:szCs w:val="24"/>
        </w:rPr>
        <w:t>ыявле</w:t>
      </w:r>
      <w:r>
        <w:rPr>
          <w:sz w:val="24"/>
          <w:szCs w:val="24"/>
        </w:rPr>
        <w:t>но</w:t>
      </w:r>
      <w:r w:rsidR="005F43A7" w:rsidRPr="005F43A7">
        <w:rPr>
          <w:sz w:val="24"/>
          <w:szCs w:val="24"/>
        </w:rPr>
        <w:t xml:space="preserve"> 13 216 случаев</w:t>
      </w:r>
      <w:r w:rsidR="000B7E3B">
        <w:rPr>
          <w:sz w:val="24"/>
          <w:szCs w:val="24"/>
        </w:rPr>
        <w:t>:</w:t>
      </w:r>
      <w:r w:rsidR="005F43A7" w:rsidRPr="005F43A7">
        <w:rPr>
          <w:sz w:val="24"/>
          <w:szCs w:val="24"/>
        </w:rPr>
        <w:t xml:space="preserve"> </w:t>
      </w:r>
      <w:r w:rsidR="00250B2C">
        <w:rPr>
          <w:sz w:val="24"/>
          <w:szCs w:val="24"/>
        </w:rPr>
        <w:t>ВЗК-</w:t>
      </w:r>
      <w:r w:rsidR="005F43A7" w:rsidRPr="005F43A7">
        <w:rPr>
          <w:sz w:val="24"/>
          <w:szCs w:val="24"/>
        </w:rPr>
        <w:t xml:space="preserve"> 44%,</w:t>
      </w:r>
      <w:r w:rsidR="00250B2C">
        <w:rPr>
          <w:sz w:val="24"/>
          <w:szCs w:val="24"/>
        </w:rPr>
        <w:t xml:space="preserve"> РЗ -</w:t>
      </w:r>
      <w:r w:rsidR="005F43A7" w:rsidRPr="005F43A7">
        <w:rPr>
          <w:sz w:val="24"/>
          <w:szCs w:val="24"/>
        </w:rPr>
        <w:t xml:space="preserve">55% и </w:t>
      </w:r>
      <w:r w:rsidR="00C11899">
        <w:rPr>
          <w:sz w:val="24"/>
          <w:szCs w:val="24"/>
        </w:rPr>
        <w:t xml:space="preserve">АИЗП - </w:t>
      </w:r>
      <w:r w:rsidR="005F43A7" w:rsidRPr="005F43A7">
        <w:rPr>
          <w:sz w:val="24"/>
          <w:szCs w:val="24"/>
        </w:rPr>
        <w:t xml:space="preserve">2%, и 114 502 контроля. </w:t>
      </w:r>
      <w:r w:rsidR="005F43A7" w:rsidRPr="00DE3ACE">
        <w:rPr>
          <w:sz w:val="24"/>
          <w:szCs w:val="24"/>
        </w:rPr>
        <w:t xml:space="preserve">Средний возраст на момент постановки диагноза составил 12,5 лет. Время наблюдения составило 11,1 и 10,5 лет для случаев и контроля соответственно. </w:t>
      </w:r>
      <w:r w:rsidR="00A63470">
        <w:rPr>
          <w:sz w:val="24"/>
          <w:szCs w:val="24"/>
        </w:rPr>
        <w:t xml:space="preserve">В целом </w:t>
      </w:r>
      <w:r>
        <w:rPr>
          <w:sz w:val="24"/>
          <w:szCs w:val="24"/>
        </w:rPr>
        <w:t>р</w:t>
      </w:r>
      <w:r w:rsidR="005F43A7" w:rsidRPr="00DE3ACE">
        <w:rPr>
          <w:sz w:val="24"/>
          <w:szCs w:val="24"/>
        </w:rPr>
        <w:t xml:space="preserve">иск </w:t>
      </w:r>
      <w:r>
        <w:rPr>
          <w:sz w:val="24"/>
          <w:szCs w:val="24"/>
        </w:rPr>
        <w:t xml:space="preserve">развития </w:t>
      </w:r>
      <w:r w:rsidR="005F43A7" w:rsidRPr="00DE3ACE">
        <w:rPr>
          <w:sz w:val="24"/>
          <w:szCs w:val="24"/>
        </w:rPr>
        <w:t xml:space="preserve">рака в </w:t>
      </w:r>
      <w:r>
        <w:rPr>
          <w:sz w:val="24"/>
          <w:szCs w:val="24"/>
        </w:rPr>
        <w:t>группе пациентов с ИВЗ</w:t>
      </w:r>
      <w:r w:rsidR="005F43A7" w:rsidRPr="00DE3ACE">
        <w:rPr>
          <w:sz w:val="24"/>
          <w:szCs w:val="24"/>
        </w:rPr>
        <w:t xml:space="preserve"> по сравнению с фоновой популяцией составил </w:t>
      </w:r>
      <w:r w:rsidR="005F43A7" w:rsidRPr="000F4480">
        <w:rPr>
          <w:b/>
          <w:bCs/>
          <w:sz w:val="24"/>
          <w:szCs w:val="24"/>
          <w:lang w:val="en-US"/>
        </w:rPr>
        <w:t>HR</w:t>
      </w:r>
      <w:r w:rsidR="005F43A7" w:rsidRPr="000F4480">
        <w:rPr>
          <w:b/>
          <w:bCs/>
          <w:sz w:val="24"/>
          <w:szCs w:val="24"/>
        </w:rPr>
        <w:t xml:space="preserve"> 2,1</w:t>
      </w:r>
      <w:r w:rsidR="005F43A7" w:rsidRPr="00DE3ACE">
        <w:rPr>
          <w:sz w:val="24"/>
          <w:szCs w:val="24"/>
        </w:rPr>
        <w:t xml:space="preserve"> (95% ДИ: 1,8-2,4), </w:t>
      </w:r>
      <w:r w:rsidR="005F43A7" w:rsidRPr="005F43A7">
        <w:rPr>
          <w:sz w:val="24"/>
          <w:szCs w:val="24"/>
          <w:lang w:val="en-US"/>
        </w:rPr>
        <w:t>p</w:t>
      </w:r>
      <w:r w:rsidR="005F43A7" w:rsidRPr="00DE3ACE">
        <w:rPr>
          <w:sz w:val="24"/>
          <w:szCs w:val="24"/>
        </w:rPr>
        <w:t>&lt;0,001</w:t>
      </w:r>
      <w:r w:rsidR="000F4480">
        <w:rPr>
          <w:sz w:val="24"/>
          <w:szCs w:val="24"/>
        </w:rPr>
        <w:t xml:space="preserve">, в том числе </w:t>
      </w:r>
      <w:r w:rsidR="000F4480" w:rsidRPr="00BD322C">
        <w:rPr>
          <w:b/>
          <w:bCs/>
          <w:sz w:val="24"/>
          <w:szCs w:val="24"/>
        </w:rPr>
        <w:t>для ВЗК</w:t>
      </w:r>
      <w:r w:rsidR="000F4480">
        <w:rPr>
          <w:sz w:val="24"/>
          <w:szCs w:val="24"/>
        </w:rPr>
        <w:t xml:space="preserve"> -</w:t>
      </w:r>
      <w:r w:rsidR="005F43A7" w:rsidRPr="00DE3ACE">
        <w:rPr>
          <w:sz w:val="24"/>
          <w:szCs w:val="24"/>
        </w:rPr>
        <w:t xml:space="preserve"> </w:t>
      </w:r>
      <w:r w:rsidR="005F43A7" w:rsidRPr="00BD322C">
        <w:rPr>
          <w:b/>
          <w:bCs/>
          <w:sz w:val="24"/>
          <w:szCs w:val="24"/>
          <w:lang w:val="en-US"/>
        </w:rPr>
        <w:t>HR</w:t>
      </w:r>
      <w:r w:rsidR="005F43A7" w:rsidRPr="00BD322C">
        <w:rPr>
          <w:b/>
          <w:bCs/>
          <w:sz w:val="24"/>
          <w:szCs w:val="24"/>
        </w:rPr>
        <w:t xml:space="preserve"> 2,4</w:t>
      </w:r>
      <w:r w:rsidR="005F43A7" w:rsidRPr="00DE3ACE">
        <w:rPr>
          <w:sz w:val="24"/>
          <w:szCs w:val="24"/>
        </w:rPr>
        <w:t xml:space="preserve"> (95% ДИ: 2,0–3,0), </w:t>
      </w:r>
      <w:r w:rsidR="005F43A7" w:rsidRPr="005F43A7">
        <w:rPr>
          <w:sz w:val="24"/>
          <w:szCs w:val="24"/>
          <w:lang w:val="en-US"/>
        </w:rPr>
        <w:t>p</w:t>
      </w:r>
      <w:r w:rsidR="005F43A7" w:rsidRPr="00DE3ACE">
        <w:rPr>
          <w:sz w:val="24"/>
          <w:szCs w:val="24"/>
        </w:rPr>
        <w:t xml:space="preserve">&lt;0,001 </w:t>
      </w:r>
      <w:r w:rsidR="00BD322C">
        <w:rPr>
          <w:sz w:val="24"/>
          <w:szCs w:val="24"/>
        </w:rPr>
        <w:t>(</w:t>
      </w:r>
      <w:r w:rsidR="005F43A7" w:rsidRPr="00DE3ACE">
        <w:rPr>
          <w:sz w:val="24"/>
          <w:szCs w:val="24"/>
        </w:rPr>
        <w:t>колоректальн</w:t>
      </w:r>
      <w:r w:rsidR="000444EE">
        <w:rPr>
          <w:sz w:val="24"/>
          <w:szCs w:val="24"/>
        </w:rPr>
        <w:t>ый</w:t>
      </w:r>
      <w:r w:rsidR="005F43A7" w:rsidRPr="00DE3ACE">
        <w:rPr>
          <w:sz w:val="24"/>
          <w:szCs w:val="24"/>
        </w:rPr>
        <w:t xml:space="preserve"> рак, рак печени, кожи и лимфом</w:t>
      </w:r>
      <w:r w:rsidR="000444EE">
        <w:rPr>
          <w:sz w:val="24"/>
          <w:szCs w:val="24"/>
        </w:rPr>
        <w:t>а)</w:t>
      </w:r>
      <w:r w:rsidR="005F43A7" w:rsidRPr="00DE3ACE">
        <w:rPr>
          <w:sz w:val="24"/>
          <w:szCs w:val="24"/>
        </w:rPr>
        <w:t xml:space="preserve">, </w:t>
      </w:r>
      <w:r w:rsidR="000444EE" w:rsidRPr="000444EE">
        <w:rPr>
          <w:b/>
          <w:bCs/>
          <w:sz w:val="24"/>
          <w:szCs w:val="24"/>
        </w:rPr>
        <w:t xml:space="preserve">для РЗ - </w:t>
      </w:r>
      <w:r w:rsidR="005F43A7" w:rsidRPr="000444EE">
        <w:rPr>
          <w:b/>
          <w:bCs/>
          <w:sz w:val="24"/>
          <w:szCs w:val="24"/>
          <w:lang w:val="en-US"/>
        </w:rPr>
        <w:t>HR</w:t>
      </w:r>
      <w:r w:rsidR="005F43A7" w:rsidRPr="000444EE">
        <w:rPr>
          <w:b/>
          <w:bCs/>
          <w:sz w:val="24"/>
          <w:szCs w:val="24"/>
        </w:rPr>
        <w:t xml:space="preserve"> 1,6</w:t>
      </w:r>
      <w:r w:rsidR="005F43A7" w:rsidRPr="00DE3ACE">
        <w:rPr>
          <w:sz w:val="24"/>
          <w:szCs w:val="24"/>
        </w:rPr>
        <w:t xml:space="preserve"> (95% ДИ: 1,2–2,1), </w:t>
      </w:r>
      <w:r w:rsidR="005F43A7" w:rsidRPr="005F43A7">
        <w:rPr>
          <w:sz w:val="24"/>
          <w:szCs w:val="24"/>
          <w:lang w:val="en-US"/>
        </w:rPr>
        <w:t>p</w:t>
      </w:r>
      <w:r w:rsidR="005F43A7" w:rsidRPr="00DE3ACE">
        <w:rPr>
          <w:sz w:val="24"/>
          <w:szCs w:val="24"/>
        </w:rPr>
        <w:t xml:space="preserve">= 0,002 </w:t>
      </w:r>
      <w:r w:rsidR="000444EE">
        <w:rPr>
          <w:sz w:val="24"/>
          <w:szCs w:val="24"/>
        </w:rPr>
        <w:t>(</w:t>
      </w:r>
      <w:r w:rsidR="005F43A7" w:rsidRPr="00DE3ACE">
        <w:rPr>
          <w:sz w:val="24"/>
          <w:szCs w:val="24"/>
        </w:rPr>
        <w:t>лимфопролиферативн</w:t>
      </w:r>
      <w:r w:rsidR="00BE5D05">
        <w:rPr>
          <w:sz w:val="24"/>
          <w:szCs w:val="24"/>
        </w:rPr>
        <w:t>ы</w:t>
      </w:r>
      <w:r w:rsidR="00F36627">
        <w:rPr>
          <w:sz w:val="24"/>
          <w:szCs w:val="24"/>
        </w:rPr>
        <w:t>е</w:t>
      </w:r>
      <w:r w:rsidR="005F43A7" w:rsidRPr="00DE3ACE">
        <w:rPr>
          <w:sz w:val="24"/>
          <w:szCs w:val="24"/>
        </w:rPr>
        <w:t xml:space="preserve"> рак</w:t>
      </w:r>
      <w:r w:rsidR="000444EE">
        <w:rPr>
          <w:sz w:val="24"/>
          <w:szCs w:val="24"/>
        </w:rPr>
        <w:t>)</w:t>
      </w:r>
      <w:r w:rsidR="005F43A7" w:rsidRPr="00DE3ACE">
        <w:rPr>
          <w:sz w:val="24"/>
          <w:szCs w:val="24"/>
        </w:rPr>
        <w:t xml:space="preserve">, и </w:t>
      </w:r>
      <w:r w:rsidR="00BE5D05" w:rsidRPr="00BE5D05">
        <w:rPr>
          <w:b/>
          <w:bCs/>
          <w:sz w:val="24"/>
          <w:szCs w:val="24"/>
        </w:rPr>
        <w:t xml:space="preserve">для АИЗП - </w:t>
      </w:r>
      <w:r w:rsidR="005F43A7" w:rsidRPr="00BE5D05">
        <w:rPr>
          <w:b/>
          <w:bCs/>
          <w:sz w:val="24"/>
          <w:szCs w:val="24"/>
          <w:lang w:val="en-US"/>
        </w:rPr>
        <w:t>HR</w:t>
      </w:r>
      <w:r w:rsidR="005F43A7" w:rsidRPr="00BE5D05">
        <w:rPr>
          <w:b/>
          <w:bCs/>
          <w:sz w:val="24"/>
          <w:szCs w:val="24"/>
        </w:rPr>
        <w:t xml:space="preserve"> 5,7</w:t>
      </w:r>
      <w:r w:rsidR="005F43A7" w:rsidRPr="00DE3ACE">
        <w:rPr>
          <w:sz w:val="24"/>
          <w:szCs w:val="24"/>
        </w:rPr>
        <w:t xml:space="preserve"> (95% ДИ: 2,5-13,1), </w:t>
      </w:r>
      <w:r w:rsidR="005F43A7" w:rsidRPr="005F43A7">
        <w:rPr>
          <w:sz w:val="24"/>
          <w:szCs w:val="24"/>
          <w:lang w:val="en-US"/>
        </w:rPr>
        <w:t>p</w:t>
      </w:r>
      <w:r w:rsidR="005F43A7" w:rsidRPr="00DE3ACE">
        <w:rPr>
          <w:sz w:val="24"/>
          <w:szCs w:val="24"/>
        </w:rPr>
        <w:t xml:space="preserve">&lt;0,001 </w:t>
      </w:r>
      <w:r w:rsidR="00BE5D05">
        <w:rPr>
          <w:sz w:val="24"/>
          <w:szCs w:val="24"/>
        </w:rPr>
        <w:t>(</w:t>
      </w:r>
      <w:r w:rsidR="005F43A7" w:rsidRPr="00DE3ACE">
        <w:rPr>
          <w:sz w:val="24"/>
          <w:szCs w:val="24"/>
        </w:rPr>
        <w:t>рак печени и кожи</w:t>
      </w:r>
      <w:r w:rsidR="00BE5D05">
        <w:rPr>
          <w:sz w:val="24"/>
          <w:szCs w:val="24"/>
        </w:rPr>
        <w:t>)</w:t>
      </w:r>
      <w:r w:rsidR="005F43A7" w:rsidRPr="00DE3ACE">
        <w:rPr>
          <w:sz w:val="24"/>
          <w:szCs w:val="24"/>
        </w:rPr>
        <w:t xml:space="preserve">. Пациенты с множественными </w:t>
      </w:r>
      <w:r w:rsidR="003E29F3">
        <w:rPr>
          <w:sz w:val="24"/>
          <w:szCs w:val="24"/>
        </w:rPr>
        <w:t>ИВЗ</w:t>
      </w:r>
      <w:r w:rsidR="005F43A7" w:rsidRPr="00DE3ACE">
        <w:rPr>
          <w:sz w:val="24"/>
          <w:szCs w:val="24"/>
        </w:rPr>
        <w:t xml:space="preserve"> имели повышенный риск рака по сравнению с пациентами только с одним диагнозом (ОР 2,8 [95% ДИ: 1,9-4,1], </w:t>
      </w:r>
      <w:r w:rsidR="005F43A7" w:rsidRPr="005F43A7">
        <w:rPr>
          <w:sz w:val="24"/>
          <w:szCs w:val="24"/>
          <w:lang w:val="en-US"/>
        </w:rPr>
        <w:t>p</w:t>
      </w:r>
      <w:r w:rsidR="005F43A7" w:rsidRPr="00DE3ACE">
        <w:rPr>
          <w:sz w:val="24"/>
          <w:szCs w:val="24"/>
        </w:rPr>
        <w:t>&lt;0,001).</w:t>
      </w:r>
    </w:p>
    <w:p w14:paraId="485CBA5E" w14:textId="14F7EFF3" w:rsidR="005F43A7" w:rsidRPr="00DE3ACE" w:rsidRDefault="005F43A7" w:rsidP="003E29F3">
      <w:pPr>
        <w:ind w:firstLine="708"/>
        <w:rPr>
          <w:sz w:val="24"/>
          <w:szCs w:val="24"/>
        </w:rPr>
      </w:pPr>
      <w:r w:rsidRPr="00DE3ACE">
        <w:rPr>
          <w:sz w:val="24"/>
          <w:szCs w:val="24"/>
        </w:rPr>
        <w:t>ЗАКЛЮЧЕНИЕ</w:t>
      </w:r>
      <w:r w:rsidR="00BD26A4">
        <w:rPr>
          <w:sz w:val="24"/>
          <w:szCs w:val="24"/>
        </w:rPr>
        <w:t>. Наличие ИВЗ</w:t>
      </w:r>
      <w:r w:rsidRPr="00DE3ACE">
        <w:rPr>
          <w:sz w:val="24"/>
          <w:szCs w:val="24"/>
        </w:rPr>
        <w:t xml:space="preserve"> был</w:t>
      </w:r>
      <w:r w:rsidR="00BD26A4">
        <w:rPr>
          <w:sz w:val="24"/>
          <w:szCs w:val="24"/>
        </w:rPr>
        <w:t>о</w:t>
      </w:r>
      <w:r w:rsidRPr="00DE3ACE">
        <w:rPr>
          <w:sz w:val="24"/>
          <w:szCs w:val="24"/>
        </w:rPr>
        <w:t xml:space="preserve"> связан с двукратным увеличением риска рака, </w:t>
      </w:r>
      <w:r w:rsidR="00B926BA">
        <w:rPr>
          <w:sz w:val="24"/>
          <w:szCs w:val="24"/>
        </w:rPr>
        <w:t>в частности</w:t>
      </w:r>
      <w:r w:rsidRPr="00DE3ACE">
        <w:rPr>
          <w:sz w:val="24"/>
          <w:szCs w:val="24"/>
        </w:rPr>
        <w:t xml:space="preserve"> колоректально</w:t>
      </w:r>
      <w:r w:rsidR="00B926BA">
        <w:rPr>
          <w:sz w:val="24"/>
          <w:szCs w:val="24"/>
        </w:rPr>
        <w:t>го</w:t>
      </w:r>
      <w:r w:rsidRPr="00DE3ACE">
        <w:rPr>
          <w:sz w:val="24"/>
          <w:szCs w:val="24"/>
        </w:rPr>
        <w:t xml:space="preserve"> рак</w:t>
      </w:r>
      <w:r w:rsidR="00B926BA">
        <w:rPr>
          <w:sz w:val="24"/>
          <w:szCs w:val="24"/>
        </w:rPr>
        <w:t>а</w:t>
      </w:r>
      <w:r w:rsidRPr="00DE3ACE">
        <w:rPr>
          <w:sz w:val="24"/>
          <w:szCs w:val="24"/>
        </w:rPr>
        <w:t xml:space="preserve"> при </w:t>
      </w:r>
      <w:r w:rsidR="00B926BA">
        <w:rPr>
          <w:sz w:val="24"/>
          <w:szCs w:val="24"/>
        </w:rPr>
        <w:t>ВЗК</w:t>
      </w:r>
      <w:r w:rsidRPr="00DE3ACE">
        <w:rPr>
          <w:sz w:val="24"/>
          <w:szCs w:val="24"/>
        </w:rPr>
        <w:t>, рак</w:t>
      </w:r>
      <w:r w:rsidR="00B926BA">
        <w:rPr>
          <w:sz w:val="24"/>
          <w:szCs w:val="24"/>
        </w:rPr>
        <w:t>а</w:t>
      </w:r>
      <w:r w:rsidRPr="00DE3ACE">
        <w:rPr>
          <w:sz w:val="24"/>
          <w:szCs w:val="24"/>
        </w:rPr>
        <w:t xml:space="preserve"> печени и кожи при </w:t>
      </w:r>
      <w:r w:rsidR="00551B8B">
        <w:rPr>
          <w:sz w:val="24"/>
          <w:szCs w:val="24"/>
        </w:rPr>
        <w:t>ВЗК</w:t>
      </w:r>
      <w:r w:rsidRPr="00DE3ACE">
        <w:rPr>
          <w:sz w:val="24"/>
          <w:szCs w:val="24"/>
        </w:rPr>
        <w:t xml:space="preserve"> и </w:t>
      </w:r>
      <w:r w:rsidR="00551B8B">
        <w:rPr>
          <w:sz w:val="24"/>
          <w:szCs w:val="24"/>
        </w:rPr>
        <w:t>АИЗП</w:t>
      </w:r>
      <w:r w:rsidRPr="00DE3ACE">
        <w:rPr>
          <w:sz w:val="24"/>
          <w:szCs w:val="24"/>
        </w:rPr>
        <w:t xml:space="preserve"> и лимфопролиферативно</w:t>
      </w:r>
      <w:r w:rsidR="00551B8B">
        <w:rPr>
          <w:sz w:val="24"/>
          <w:szCs w:val="24"/>
        </w:rPr>
        <w:t>го</w:t>
      </w:r>
      <w:r w:rsidRPr="00DE3ACE">
        <w:rPr>
          <w:sz w:val="24"/>
          <w:szCs w:val="24"/>
        </w:rPr>
        <w:t xml:space="preserve"> рак</w:t>
      </w:r>
      <w:r w:rsidR="00551B8B">
        <w:rPr>
          <w:sz w:val="24"/>
          <w:szCs w:val="24"/>
        </w:rPr>
        <w:t>а</w:t>
      </w:r>
      <w:r w:rsidRPr="00DE3ACE">
        <w:rPr>
          <w:sz w:val="24"/>
          <w:szCs w:val="24"/>
        </w:rPr>
        <w:t xml:space="preserve"> при </w:t>
      </w:r>
      <w:r w:rsidR="00551B8B">
        <w:rPr>
          <w:sz w:val="24"/>
          <w:szCs w:val="24"/>
        </w:rPr>
        <w:t>ВЗК</w:t>
      </w:r>
      <w:r w:rsidRPr="00DE3ACE">
        <w:rPr>
          <w:sz w:val="24"/>
          <w:szCs w:val="24"/>
        </w:rPr>
        <w:t xml:space="preserve"> и</w:t>
      </w:r>
      <w:r w:rsidR="00551B8B">
        <w:rPr>
          <w:sz w:val="24"/>
          <w:szCs w:val="24"/>
        </w:rPr>
        <w:t xml:space="preserve"> РЗ</w:t>
      </w:r>
      <w:r w:rsidRPr="00DE3ACE">
        <w:rPr>
          <w:sz w:val="24"/>
          <w:szCs w:val="24"/>
        </w:rPr>
        <w:t>.</w:t>
      </w:r>
    </w:p>
    <w:p w14:paraId="0E3BAC1E" w14:textId="77777777" w:rsidR="00F45206" w:rsidRDefault="00F45206" w:rsidP="00F45206">
      <w:pPr>
        <w:ind w:firstLine="708"/>
        <w:rPr>
          <w:sz w:val="24"/>
          <w:szCs w:val="24"/>
        </w:rPr>
      </w:pPr>
    </w:p>
    <w:p w14:paraId="269B08FE" w14:textId="77777777" w:rsidR="00EC3877" w:rsidRDefault="00EC3877" w:rsidP="00F45206">
      <w:pPr>
        <w:ind w:firstLine="708"/>
        <w:rPr>
          <w:sz w:val="24"/>
          <w:szCs w:val="24"/>
        </w:rPr>
      </w:pPr>
    </w:p>
    <w:p w14:paraId="43054CB9" w14:textId="36E5A345" w:rsidR="00EC3877" w:rsidRDefault="00B5097B" w:rsidP="00F45206">
      <w:pPr>
        <w:ind w:firstLine="708"/>
        <w:rPr>
          <w:b/>
          <w:bCs/>
          <w:color w:val="4F81BD" w:themeColor="accent1"/>
          <w:sz w:val="32"/>
          <w:szCs w:val="32"/>
        </w:rPr>
      </w:pPr>
      <w:r w:rsidRPr="00B5097B">
        <w:rPr>
          <w:b/>
          <w:bCs/>
          <w:color w:val="4F81BD" w:themeColor="accent1"/>
          <w:sz w:val="32"/>
          <w:szCs w:val="32"/>
        </w:rPr>
        <w:t>OP33 Результаты рандомизированного контролируемого исследования по оценке блокады интерлейкина-1 анакинрой у пациентов с острым тяжелым язвенным колитом (IASO)</w:t>
      </w:r>
    </w:p>
    <w:p w14:paraId="0CBBB951" w14:textId="7F16916C" w:rsidR="00821E0C" w:rsidRDefault="00821E0C" w:rsidP="00F45206">
      <w:pPr>
        <w:ind w:firstLine="708"/>
        <w:rPr>
          <w:lang w:val="en-US"/>
        </w:rPr>
      </w:pPr>
      <w:r w:rsidRPr="00EC45A0">
        <w:rPr>
          <w:lang w:val="en-US"/>
        </w:rPr>
        <w:t>Raine, T.; Vaja, S.; Subramanian, S.; Brezina, B.; Probert et al</w:t>
      </w:r>
      <w:r w:rsidR="00EC45A0" w:rsidRPr="00EC45A0">
        <w:rPr>
          <w:lang w:val="en-US"/>
        </w:rPr>
        <w:t xml:space="preserve">, </w:t>
      </w:r>
      <w:r w:rsidR="00EC45A0">
        <w:rPr>
          <w:lang w:val="en-US"/>
        </w:rPr>
        <w:t>(</w:t>
      </w:r>
      <w:r w:rsidR="00EC45A0" w:rsidRPr="00EC45A0">
        <w:rPr>
          <w:lang w:val="en-US"/>
        </w:rPr>
        <w:t>UK</w:t>
      </w:r>
      <w:r w:rsidR="00EC45A0">
        <w:rPr>
          <w:lang w:val="en-US"/>
        </w:rPr>
        <w:t>)</w:t>
      </w:r>
    </w:p>
    <w:p w14:paraId="5BCA135D" w14:textId="29436F87" w:rsidR="009F4E24" w:rsidRPr="009F4E24" w:rsidRDefault="009F4E24" w:rsidP="009F4E24">
      <w:pPr>
        <w:ind w:firstLine="708"/>
        <w:rPr>
          <w:sz w:val="24"/>
          <w:szCs w:val="24"/>
        </w:rPr>
      </w:pPr>
      <w:r>
        <w:rPr>
          <w:sz w:val="24"/>
          <w:szCs w:val="24"/>
        </w:rPr>
        <w:t>П</w:t>
      </w:r>
      <w:r w:rsidRPr="009F4E24">
        <w:rPr>
          <w:sz w:val="24"/>
          <w:szCs w:val="24"/>
        </w:rPr>
        <w:t>рове</w:t>
      </w:r>
      <w:r>
        <w:rPr>
          <w:sz w:val="24"/>
          <w:szCs w:val="24"/>
        </w:rPr>
        <w:t>дено</w:t>
      </w:r>
      <w:r w:rsidRPr="009F4E24">
        <w:rPr>
          <w:sz w:val="24"/>
          <w:szCs w:val="24"/>
        </w:rPr>
        <w:t xml:space="preserve"> многоцентровое рандомизированное (1:1) плацебо-контролируемое двойное слепое исследование фазы </w:t>
      </w:r>
      <w:r w:rsidRPr="009F4E24">
        <w:rPr>
          <w:sz w:val="24"/>
          <w:szCs w:val="24"/>
          <w:lang w:val="en-US"/>
        </w:rPr>
        <w:t>II</w:t>
      </w:r>
      <w:r w:rsidRPr="009F4E24">
        <w:rPr>
          <w:sz w:val="24"/>
          <w:szCs w:val="24"/>
        </w:rPr>
        <w:t xml:space="preserve"> блокады ИЛ-1  анакинрой, назначаемой вместе с внутривенными кортикостероидами взрослым пациентам, госпитализированным с подозрением или подтвержденным </w:t>
      </w:r>
      <w:r w:rsidRPr="009F4E24">
        <w:rPr>
          <w:sz w:val="24"/>
          <w:szCs w:val="24"/>
          <w:lang w:val="en-US"/>
        </w:rPr>
        <w:t>ASUC</w:t>
      </w:r>
      <w:r w:rsidRPr="009F4E24">
        <w:rPr>
          <w:sz w:val="24"/>
          <w:szCs w:val="24"/>
        </w:rPr>
        <w:t>. Первичной конечной точкой была частота проведения медикаментозной (т.е. инфликсимаб/циклоспорин)</w:t>
      </w:r>
      <w:r w:rsidR="00816CCF">
        <w:rPr>
          <w:sz w:val="24"/>
          <w:szCs w:val="24"/>
        </w:rPr>
        <w:t xml:space="preserve"> </w:t>
      </w:r>
      <w:r w:rsidR="007D066B">
        <w:rPr>
          <w:sz w:val="24"/>
          <w:szCs w:val="24"/>
        </w:rPr>
        <w:t>«</w:t>
      </w:r>
      <w:r w:rsidR="00816CCF">
        <w:rPr>
          <w:sz w:val="24"/>
          <w:szCs w:val="24"/>
        </w:rPr>
        <w:t>терапии спасения</w:t>
      </w:r>
      <w:r w:rsidR="007D066B">
        <w:rPr>
          <w:sz w:val="24"/>
          <w:szCs w:val="24"/>
        </w:rPr>
        <w:t>»</w:t>
      </w:r>
      <w:r w:rsidRPr="009F4E24">
        <w:rPr>
          <w:sz w:val="24"/>
          <w:szCs w:val="24"/>
        </w:rPr>
        <w:t xml:space="preserve"> или колэктоми</w:t>
      </w:r>
      <w:r w:rsidR="0075184B">
        <w:rPr>
          <w:sz w:val="24"/>
          <w:szCs w:val="24"/>
        </w:rPr>
        <w:t>и</w:t>
      </w:r>
      <w:r w:rsidRPr="009F4E24">
        <w:rPr>
          <w:sz w:val="24"/>
          <w:szCs w:val="24"/>
        </w:rPr>
        <w:t xml:space="preserve"> в течение 10 дней после начала внутривенной терапии кортикостероидами. Вторичные исходы включали активность заболевания, время до клинического ответа, время до </w:t>
      </w:r>
      <w:r w:rsidR="0075184B">
        <w:rPr>
          <w:sz w:val="24"/>
          <w:szCs w:val="24"/>
        </w:rPr>
        <w:t>«</w:t>
      </w:r>
      <w:r w:rsidRPr="009F4E24">
        <w:rPr>
          <w:sz w:val="24"/>
          <w:szCs w:val="24"/>
        </w:rPr>
        <w:t>терапии спасения</w:t>
      </w:r>
      <w:r w:rsidR="0075184B">
        <w:rPr>
          <w:sz w:val="24"/>
          <w:szCs w:val="24"/>
        </w:rPr>
        <w:t>»</w:t>
      </w:r>
      <w:r w:rsidRPr="009F4E24">
        <w:rPr>
          <w:sz w:val="24"/>
          <w:szCs w:val="24"/>
        </w:rPr>
        <w:t>, частоту колэктомий на 98-й день после внутривенного введения кортикостероидов и безопасность.</w:t>
      </w:r>
    </w:p>
    <w:p w14:paraId="413AC6B3" w14:textId="700C049C" w:rsidR="009F4E24" w:rsidRPr="009F4E24" w:rsidRDefault="009F4E24" w:rsidP="001A7B17">
      <w:pPr>
        <w:rPr>
          <w:sz w:val="24"/>
          <w:szCs w:val="24"/>
        </w:rPr>
      </w:pPr>
      <w:r w:rsidRPr="009F4E24">
        <w:rPr>
          <w:sz w:val="24"/>
          <w:szCs w:val="24"/>
        </w:rPr>
        <w:t>ПОЛУЧЕННЫЕ РЕЗУЛЬТАТЫ</w:t>
      </w:r>
      <w:r w:rsidR="001A7B17">
        <w:rPr>
          <w:sz w:val="24"/>
          <w:szCs w:val="24"/>
        </w:rPr>
        <w:t xml:space="preserve">: </w:t>
      </w:r>
      <w:r w:rsidRPr="009F4E24">
        <w:rPr>
          <w:sz w:val="24"/>
          <w:szCs w:val="24"/>
        </w:rPr>
        <w:t xml:space="preserve">113 пациентов были рандомизированы, 55 — в группу плацебо и 58 — в группу анакинры. Частота медикаментозной или хирургической </w:t>
      </w:r>
      <w:r w:rsidR="001A7B17">
        <w:rPr>
          <w:sz w:val="24"/>
          <w:szCs w:val="24"/>
        </w:rPr>
        <w:t>«</w:t>
      </w:r>
      <w:r w:rsidRPr="009F4E24">
        <w:rPr>
          <w:sz w:val="24"/>
          <w:szCs w:val="24"/>
        </w:rPr>
        <w:t>терапии</w:t>
      </w:r>
      <w:r w:rsidR="001A7B17">
        <w:rPr>
          <w:sz w:val="24"/>
          <w:szCs w:val="24"/>
        </w:rPr>
        <w:t xml:space="preserve"> спасения»</w:t>
      </w:r>
      <w:r w:rsidRPr="009F4E24">
        <w:rPr>
          <w:sz w:val="24"/>
          <w:szCs w:val="24"/>
        </w:rPr>
        <w:t xml:space="preserve"> к 10-му дню была выше в группе анакинры, чем в группе плацебо (43% против 26%). Частота колэктомии к 98 дню была выше в группе анакинры (11% против 4%). Эти различия не были статистически значимыми, </w:t>
      </w:r>
      <w:r w:rsidR="00246FC3">
        <w:rPr>
          <w:sz w:val="24"/>
          <w:szCs w:val="24"/>
        </w:rPr>
        <w:t xml:space="preserve">однако </w:t>
      </w:r>
      <w:r w:rsidRPr="009F4E24">
        <w:rPr>
          <w:sz w:val="24"/>
          <w:szCs w:val="24"/>
        </w:rPr>
        <w:t xml:space="preserve">по рекомендации независимого комитета по мониторингу данных исследование было </w:t>
      </w:r>
      <w:r w:rsidRPr="009F4E24">
        <w:rPr>
          <w:sz w:val="24"/>
          <w:szCs w:val="24"/>
        </w:rPr>
        <w:lastRenderedPageBreak/>
        <w:t xml:space="preserve">прекращено </w:t>
      </w:r>
      <w:r w:rsidR="00246FC3">
        <w:rPr>
          <w:sz w:val="24"/>
          <w:szCs w:val="24"/>
        </w:rPr>
        <w:t>досрочно</w:t>
      </w:r>
      <w:r w:rsidRPr="009F4E24">
        <w:rPr>
          <w:sz w:val="24"/>
          <w:szCs w:val="24"/>
        </w:rPr>
        <w:t>. В группе плацебо частота нежелательных явлений была выше, наиболее частым было обострение язвенного колита.</w:t>
      </w:r>
    </w:p>
    <w:p w14:paraId="682C20D1" w14:textId="695B7586" w:rsidR="00EC45A0" w:rsidRPr="00863E25" w:rsidRDefault="009F4E24" w:rsidP="00246FC3">
      <w:pPr>
        <w:rPr>
          <w:sz w:val="24"/>
          <w:szCs w:val="24"/>
        </w:rPr>
      </w:pPr>
      <w:r w:rsidRPr="009F4E24">
        <w:rPr>
          <w:sz w:val="24"/>
          <w:szCs w:val="24"/>
        </w:rPr>
        <w:t>ЗАКЛЮЧЕНИЕ</w:t>
      </w:r>
      <w:r w:rsidR="00246FC3">
        <w:rPr>
          <w:sz w:val="24"/>
          <w:szCs w:val="24"/>
        </w:rPr>
        <w:t>:</w:t>
      </w:r>
      <w:r w:rsidRPr="009F4E24">
        <w:rPr>
          <w:sz w:val="24"/>
          <w:szCs w:val="24"/>
        </w:rPr>
        <w:t xml:space="preserve"> исследование показ</w:t>
      </w:r>
      <w:r w:rsidR="00246FC3">
        <w:rPr>
          <w:sz w:val="24"/>
          <w:szCs w:val="24"/>
        </w:rPr>
        <w:t>ало</w:t>
      </w:r>
      <w:r w:rsidRPr="009F4E24">
        <w:rPr>
          <w:sz w:val="24"/>
          <w:szCs w:val="24"/>
        </w:rPr>
        <w:t xml:space="preserve">, что добавление анакинры к текущему стандартному лечению кортикостероидами внутривенно у пациентов с </w:t>
      </w:r>
      <w:r w:rsidRPr="009F4E24">
        <w:rPr>
          <w:sz w:val="24"/>
          <w:szCs w:val="24"/>
          <w:lang w:val="en-US"/>
        </w:rPr>
        <w:t>ASUC</w:t>
      </w:r>
      <w:r w:rsidRPr="009F4E24">
        <w:rPr>
          <w:sz w:val="24"/>
          <w:szCs w:val="24"/>
        </w:rPr>
        <w:t xml:space="preserve"> не уменьшило потребность в неотложной терапии или колэктомии. Это говорит о том, что блокада ИЛ-1 не является терапевтической мишенью при </w:t>
      </w:r>
      <w:r w:rsidRPr="009F4E24">
        <w:rPr>
          <w:sz w:val="24"/>
          <w:szCs w:val="24"/>
          <w:lang w:val="en-US"/>
        </w:rPr>
        <w:t>ASUC</w:t>
      </w:r>
      <w:r w:rsidRPr="009F4E24">
        <w:rPr>
          <w:sz w:val="24"/>
          <w:szCs w:val="24"/>
        </w:rPr>
        <w:t xml:space="preserve">. </w:t>
      </w:r>
      <w:r w:rsidRPr="00863E25">
        <w:rPr>
          <w:sz w:val="24"/>
          <w:szCs w:val="24"/>
        </w:rPr>
        <w:t>При лечении анакинрой проблем с безопасностью не возникало.</w:t>
      </w:r>
    </w:p>
    <w:p w14:paraId="39610AFE" w14:textId="77777777" w:rsidR="00F834E0" w:rsidRPr="00863E25" w:rsidRDefault="00F834E0" w:rsidP="00246FC3">
      <w:pPr>
        <w:rPr>
          <w:sz w:val="24"/>
          <w:szCs w:val="24"/>
        </w:rPr>
      </w:pPr>
    </w:p>
    <w:p w14:paraId="343236F3" w14:textId="77777777" w:rsidR="00F834E0" w:rsidRPr="00863E25" w:rsidRDefault="00F834E0" w:rsidP="00246FC3">
      <w:pPr>
        <w:rPr>
          <w:sz w:val="24"/>
          <w:szCs w:val="24"/>
        </w:rPr>
      </w:pPr>
    </w:p>
    <w:p w14:paraId="5BC2D3B4" w14:textId="347425CB" w:rsidR="00BD7ED5" w:rsidRPr="00C50129" w:rsidRDefault="00BD7ED5" w:rsidP="00246FC3">
      <w:pPr>
        <w:rPr>
          <w:b/>
          <w:bCs/>
          <w:color w:val="4F81BD" w:themeColor="accent1"/>
          <w:sz w:val="32"/>
          <w:szCs w:val="32"/>
        </w:rPr>
      </w:pPr>
      <w:r w:rsidRPr="00C50129">
        <w:rPr>
          <w:b/>
          <w:bCs/>
          <w:color w:val="4F81BD" w:themeColor="accent1"/>
          <w:sz w:val="32"/>
          <w:szCs w:val="32"/>
        </w:rPr>
        <w:t>OP40 PRA023 продемонстрировал эффективность и безопасность в качестве индукционной терапии умеренно</w:t>
      </w:r>
      <w:r w:rsidR="00721728">
        <w:rPr>
          <w:b/>
          <w:bCs/>
          <w:color w:val="4F81BD" w:themeColor="accent1"/>
          <w:sz w:val="32"/>
          <w:szCs w:val="32"/>
        </w:rPr>
        <w:t>го</w:t>
      </w:r>
      <w:r w:rsidRPr="00C50129">
        <w:rPr>
          <w:b/>
          <w:bCs/>
          <w:color w:val="4F81BD" w:themeColor="accent1"/>
          <w:sz w:val="32"/>
          <w:szCs w:val="32"/>
        </w:rPr>
        <w:t xml:space="preserve"> и тяжелого активного язвенного колита: результаты исследования фазы 2 ARTEMIS-UC</w:t>
      </w:r>
    </w:p>
    <w:p w14:paraId="1527E00A" w14:textId="6690D9D0" w:rsidR="002F3789" w:rsidRPr="00C50129" w:rsidRDefault="002F3789" w:rsidP="00246FC3">
      <w:pPr>
        <w:rPr>
          <w:lang w:val="en-US"/>
        </w:rPr>
      </w:pPr>
      <w:r w:rsidRPr="00C50129">
        <w:rPr>
          <w:lang w:val="en-US"/>
        </w:rPr>
        <w:t>B. Sands, L. Peyrin-Biroulet, S. Danese, D.T. Rubin, S. Vermeire et al.</w:t>
      </w:r>
    </w:p>
    <w:p w14:paraId="6F60D88C" w14:textId="639D7540" w:rsidR="007A22B7" w:rsidRPr="007A22B7" w:rsidRDefault="00721728" w:rsidP="00FF29B3">
      <w:pPr>
        <w:ind w:firstLine="708"/>
        <w:rPr>
          <w:sz w:val="24"/>
          <w:szCs w:val="24"/>
        </w:rPr>
      </w:pPr>
      <w:r>
        <w:rPr>
          <w:sz w:val="24"/>
          <w:szCs w:val="24"/>
        </w:rPr>
        <w:t>ФНО-подобный ц</w:t>
      </w:r>
      <w:r w:rsidR="007A22B7" w:rsidRPr="007A22B7">
        <w:rPr>
          <w:sz w:val="24"/>
          <w:szCs w:val="24"/>
        </w:rPr>
        <w:t>итокин 1</w:t>
      </w:r>
      <w:r w:rsidR="007A22B7" w:rsidRPr="007A22B7">
        <w:rPr>
          <w:sz w:val="24"/>
          <w:szCs w:val="24"/>
          <w:lang w:val="en-US"/>
        </w:rPr>
        <w:t>A</w:t>
      </w:r>
      <w:r w:rsidR="007A22B7" w:rsidRPr="007A22B7">
        <w:rPr>
          <w:sz w:val="24"/>
          <w:szCs w:val="24"/>
        </w:rPr>
        <w:t xml:space="preserve"> (</w:t>
      </w:r>
      <w:r w:rsidR="007A22B7" w:rsidRPr="007A22B7">
        <w:rPr>
          <w:sz w:val="24"/>
          <w:szCs w:val="24"/>
          <w:lang w:val="en-US"/>
        </w:rPr>
        <w:t>TL</w:t>
      </w:r>
      <w:r w:rsidR="007A22B7" w:rsidRPr="007A22B7">
        <w:rPr>
          <w:sz w:val="24"/>
          <w:szCs w:val="24"/>
        </w:rPr>
        <w:t>1</w:t>
      </w:r>
      <w:r w:rsidR="007A22B7" w:rsidRPr="007A22B7">
        <w:rPr>
          <w:sz w:val="24"/>
          <w:szCs w:val="24"/>
          <w:lang w:val="en-US"/>
        </w:rPr>
        <w:t>A</w:t>
      </w:r>
      <w:r w:rsidR="007A22B7" w:rsidRPr="007A22B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7A22B7" w:rsidRPr="007A22B7">
        <w:rPr>
          <w:sz w:val="24"/>
          <w:szCs w:val="24"/>
        </w:rPr>
        <w:t xml:space="preserve">является вышестоящим регулятором провоспалительных цитокинов и </w:t>
      </w:r>
      <w:r w:rsidR="00597CA0">
        <w:rPr>
          <w:sz w:val="24"/>
          <w:szCs w:val="24"/>
        </w:rPr>
        <w:t>факторов</w:t>
      </w:r>
      <w:r w:rsidR="007A22B7" w:rsidRPr="007A22B7">
        <w:rPr>
          <w:sz w:val="24"/>
          <w:szCs w:val="24"/>
        </w:rPr>
        <w:t xml:space="preserve"> фиброза. </w:t>
      </w:r>
      <w:r w:rsidR="007A22B7" w:rsidRPr="007A22B7">
        <w:rPr>
          <w:sz w:val="24"/>
          <w:szCs w:val="24"/>
          <w:lang w:val="en-US"/>
        </w:rPr>
        <w:t>PRA</w:t>
      </w:r>
      <w:r w:rsidR="007A22B7" w:rsidRPr="007A22B7">
        <w:rPr>
          <w:sz w:val="24"/>
          <w:szCs w:val="24"/>
        </w:rPr>
        <w:t xml:space="preserve">023 представляет собой моноклональное антитело против </w:t>
      </w:r>
      <w:r w:rsidR="007A22B7" w:rsidRPr="007A22B7">
        <w:rPr>
          <w:sz w:val="24"/>
          <w:szCs w:val="24"/>
          <w:lang w:val="en-US"/>
        </w:rPr>
        <w:t>TL</w:t>
      </w:r>
      <w:r w:rsidR="007A22B7" w:rsidRPr="007A22B7">
        <w:rPr>
          <w:sz w:val="24"/>
          <w:szCs w:val="24"/>
        </w:rPr>
        <w:t>1</w:t>
      </w:r>
      <w:r w:rsidR="007A22B7" w:rsidRPr="007A22B7">
        <w:rPr>
          <w:sz w:val="24"/>
          <w:szCs w:val="24"/>
          <w:lang w:val="en-US"/>
        </w:rPr>
        <w:t>A</w:t>
      </w:r>
      <w:r w:rsidR="007A22B7" w:rsidRPr="007A22B7">
        <w:rPr>
          <w:sz w:val="24"/>
          <w:szCs w:val="24"/>
        </w:rPr>
        <w:t>, разраб</w:t>
      </w:r>
      <w:r w:rsidR="00FF29B3">
        <w:rPr>
          <w:sz w:val="24"/>
          <w:szCs w:val="24"/>
        </w:rPr>
        <w:t>отанное</w:t>
      </w:r>
      <w:r w:rsidR="007A22B7" w:rsidRPr="007A22B7">
        <w:rPr>
          <w:sz w:val="24"/>
          <w:szCs w:val="24"/>
        </w:rPr>
        <w:t xml:space="preserve"> для лечения множественных воспалительных/фиброзных заболеваний с использованием подхода прецизионной медицины с сопутствующей диагностикой (</w:t>
      </w:r>
      <w:r w:rsidR="007A22B7" w:rsidRPr="007A22B7">
        <w:rPr>
          <w:sz w:val="24"/>
          <w:szCs w:val="24"/>
          <w:lang w:val="en-US"/>
        </w:rPr>
        <w:t>CDx</w:t>
      </w:r>
      <w:r w:rsidR="007A22B7" w:rsidRPr="007A22B7">
        <w:rPr>
          <w:sz w:val="24"/>
          <w:szCs w:val="24"/>
        </w:rPr>
        <w:t xml:space="preserve">). Это плацебо-контролируемое, многоцентровое, двойное слепое исследование фазы 2 было направлено на оценку эффективности и безопасности </w:t>
      </w:r>
      <w:r w:rsidR="007A22B7" w:rsidRPr="007A22B7">
        <w:rPr>
          <w:sz w:val="24"/>
          <w:szCs w:val="24"/>
          <w:lang w:val="en-US"/>
        </w:rPr>
        <w:t>PRA</w:t>
      </w:r>
      <w:r w:rsidR="007A22B7" w:rsidRPr="007A22B7">
        <w:rPr>
          <w:sz w:val="24"/>
          <w:szCs w:val="24"/>
        </w:rPr>
        <w:t>023 для индукционной терапии у взрослых с активным язвенным колитом (ЯК) средней и тяжелой степени.</w:t>
      </w:r>
    </w:p>
    <w:p w14:paraId="716059BC" w14:textId="77777777" w:rsidR="007A22B7" w:rsidRPr="007A22B7" w:rsidRDefault="007A22B7" w:rsidP="007A22B7">
      <w:pPr>
        <w:rPr>
          <w:sz w:val="24"/>
          <w:szCs w:val="24"/>
        </w:rPr>
      </w:pPr>
    </w:p>
    <w:p w14:paraId="1F7CC557" w14:textId="6123AF29" w:rsidR="007A22B7" w:rsidRPr="00C50129" w:rsidRDefault="007A22B7" w:rsidP="007A22B7">
      <w:pPr>
        <w:rPr>
          <w:sz w:val="24"/>
          <w:szCs w:val="24"/>
        </w:rPr>
      </w:pPr>
      <w:r w:rsidRPr="00C50129">
        <w:rPr>
          <w:sz w:val="24"/>
          <w:szCs w:val="24"/>
        </w:rPr>
        <w:t>МЕТОДЫ</w:t>
      </w:r>
      <w:r w:rsidR="00174054">
        <w:rPr>
          <w:sz w:val="24"/>
          <w:szCs w:val="24"/>
        </w:rPr>
        <w:t xml:space="preserve">. </w:t>
      </w:r>
      <w:r w:rsidRPr="00C50129">
        <w:rPr>
          <w:sz w:val="24"/>
          <w:szCs w:val="24"/>
        </w:rPr>
        <w:t xml:space="preserve">Пациенты были стратифицированы по статусу предшествующего биологического воздействия (да/нет) и статусу </w:t>
      </w:r>
      <w:r w:rsidRPr="007A22B7">
        <w:rPr>
          <w:sz w:val="24"/>
          <w:szCs w:val="24"/>
          <w:lang w:val="en-US"/>
        </w:rPr>
        <w:t>CDx</w:t>
      </w:r>
      <w:r w:rsidRPr="00C50129">
        <w:rPr>
          <w:sz w:val="24"/>
          <w:szCs w:val="24"/>
        </w:rPr>
        <w:t xml:space="preserve"> (да/нет) и рандомизированы 1:1 для получения плацебо или внутривенного введения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 xml:space="preserve">023 (1000 мг в 1-й день, 500 мг на 2-й, 6-й и 10-й неделях). Первичной конечной точкой была клиническая ремиссия на 12-й неделе. </w:t>
      </w:r>
    </w:p>
    <w:p w14:paraId="5FEF0C03" w14:textId="49A51411" w:rsidR="007A22B7" w:rsidRPr="00A314F0" w:rsidRDefault="007A22B7" w:rsidP="007A22B7">
      <w:pPr>
        <w:rPr>
          <w:sz w:val="24"/>
          <w:szCs w:val="24"/>
        </w:rPr>
      </w:pPr>
      <w:r w:rsidRPr="00C50129">
        <w:rPr>
          <w:sz w:val="24"/>
          <w:szCs w:val="24"/>
        </w:rPr>
        <w:t>ПОЛУЧЕННЫЕ РЕЗУЛЬТАТЫ</w:t>
      </w:r>
      <w:r w:rsidR="00A314F0">
        <w:rPr>
          <w:sz w:val="24"/>
          <w:szCs w:val="24"/>
        </w:rPr>
        <w:t xml:space="preserve">. </w:t>
      </w:r>
      <w:r w:rsidRPr="00C50129">
        <w:rPr>
          <w:sz w:val="24"/>
          <w:szCs w:val="24"/>
        </w:rPr>
        <w:t xml:space="preserve">Из 135 пациентов  60/67 (89,6%) в группе плацебо и 68/68 (100%) в группе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 xml:space="preserve">023 завершили 12-недельный индукционный период. Исходные характеристики </w:t>
      </w:r>
      <w:r w:rsidR="00DA4AC3">
        <w:rPr>
          <w:sz w:val="24"/>
          <w:szCs w:val="24"/>
        </w:rPr>
        <w:t xml:space="preserve">пациентов </w:t>
      </w:r>
      <w:r w:rsidRPr="00C50129">
        <w:rPr>
          <w:sz w:val="24"/>
          <w:szCs w:val="24"/>
        </w:rPr>
        <w:t>были схожими</w:t>
      </w:r>
      <w:r w:rsidR="00DA4AC3">
        <w:rPr>
          <w:sz w:val="24"/>
          <w:szCs w:val="24"/>
        </w:rPr>
        <w:t>.</w:t>
      </w:r>
      <w:r w:rsidRPr="00C50129">
        <w:rPr>
          <w:sz w:val="24"/>
          <w:szCs w:val="24"/>
        </w:rPr>
        <w:t xml:space="preserve"> Значительно большая доля пациентов, получавших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 xml:space="preserve">023, достигла первичной конечной точки клинической ремиссии (26,5%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 xml:space="preserve">023 по сравнению с 1,5% плацебо, ∆ 25,0%, </w:t>
      </w:r>
      <w:r w:rsidRPr="007A22B7">
        <w:rPr>
          <w:sz w:val="24"/>
          <w:szCs w:val="24"/>
          <w:lang w:val="en-US"/>
        </w:rPr>
        <w:t>p</w:t>
      </w:r>
      <w:r w:rsidRPr="00C50129">
        <w:rPr>
          <w:sz w:val="24"/>
          <w:szCs w:val="24"/>
        </w:rPr>
        <w:t xml:space="preserve"> &lt;0,0001) на 12-й неделе. Кроме того, значительно больше пациентов, получавших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 xml:space="preserve">023, достигли ключевой вторичной конечной точки </w:t>
      </w:r>
      <w:r w:rsidR="00DA4AC3">
        <w:rPr>
          <w:sz w:val="24"/>
          <w:szCs w:val="24"/>
        </w:rPr>
        <w:t>-</w:t>
      </w:r>
      <w:r w:rsidRPr="00C50129">
        <w:rPr>
          <w:sz w:val="24"/>
          <w:szCs w:val="24"/>
        </w:rPr>
        <w:t xml:space="preserve">эндоскопического улучшения (36,8%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 xml:space="preserve">023 против 6,0% плацебо, ∆ 30,8%, </w:t>
      </w:r>
      <w:r w:rsidRPr="007A22B7">
        <w:rPr>
          <w:sz w:val="24"/>
          <w:szCs w:val="24"/>
          <w:lang w:val="en-US"/>
        </w:rPr>
        <w:t>p</w:t>
      </w:r>
      <w:r w:rsidRPr="00C50129">
        <w:rPr>
          <w:sz w:val="24"/>
          <w:szCs w:val="24"/>
        </w:rPr>
        <w:t xml:space="preserve"> &lt;0,0001). Все остальные вторичные конечные точки </w:t>
      </w:r>
      <w:r w:rsidR="00DA4AC3">
        <w:rPr>
          <w:sz w:val="24"/>
          <w:szCs w:val="24"/>
        </w:rPr>
        <w:t xml:space="preserve">также </w:t>
      </w:r>
      <w:r w:rsidRPr="00C50129">
        <w:rPr>
          <w:sz w:val="24"/>
          <w:szCs w:val="24"/>
        </w:rPr>
        <w:t xml:space="preserve">были достигнуты. Частота нежелательных явлений (НЯ), возникших на фоне лечения, была одинаковой в двух группах, при этом в группе </w:t>
      </w:r>
      <w:r w:rsidRPr="007A22B7">
        <w:rPr>
          <w:sz w:val="24"/>
          <w:szCs w:val="24"/>
          <w:lang w:val="en-US"/>
        </w:rPr>
        <w:t>PRA</w:t>
      </w:r>
      <w:r w:rsidRPr="00C50129">
        <w:rPr>
          <w:sz w:val="24"/>
          <w:szCs w:val="24"/>
        </w:rPr>
        <w:t>023 не было серьезных НЯ или НЯ, приведших к отмене исследуемого препарата</w:t>
      </w:r>
      <w:r w:rsidR="00DA4AC3">
        <w:rPr>
          <w:sz w:val="24"/>
          <w:szCs w:val="24"/>
        </w:rPr>
        <w:t>.</w:t>
      </w:r>
    </w:p>
    <w:p w14:paraId="5F5E4391" w14:textId="39461315" w:rsidR="00E55436" w:rsidRDefault="007A22B7" w:rsidP="007A22B7">
      <w:pPr>
        <w:rPr>
          <w:sz w:val="24"/>
          <w:szCs w:val="24"/>
        </w:rPr>
      </w:pPr>
      <w:r w:rsidRPr="00DA4AC3">
        <w:rPr>
          <w:sz w:val="24"/>
          <w:szCs w:val="24"/>
        </w:rPr>
        <w:t>ЗАКЛЮЧЕНИЕ</w:t>
      </w:r>
      <w:r w:rsidR="00DA4AC3">
        <w:rPr>
          <w:sz w:val="24"/>
          <w:szCs w:val="24"/>
        </w:rPr>
        <w:t xml:space="preserve">. </w:t>
      </w:r>
      <w:r w:rsidRPr="007A22B7">
        <w:rPr>
          <w:sz w:val="24"/>
          <w:szCs w:val="24"/>
          <w:lang w:val="en-US"/>
        </w:rPr>
        <w:t>PRA</w:t>
      </w:r>
      <w:r w:rsidRPr="007A22B7">
        <w:rPr>
          <w:sz w:val="24"/>
          <w:szCs w:val="24"/>
        </w:rPr>
        <w:t xml:space="preserve">023 был эффективен с благоприятной переносимостью для индукции клинической ремиссии и эндоскопического улучшения при ЯК средней и тяжелой степени активности. </w:t>
      </w:r>
      <w:r w:rsidRPr="00C50129">
        <w:rPr>
          <w:sz w:val="24"/>
          <w:szCs w:val="24"/>
        </w:rPr>
        <w:t>Для подтверждения этих результатов будет проведено исследование фазы 3</w:t>
      </w:r>
      <w:r w:rsidR="00406EFC">
        <w:rPr>
          <w:sz w:val="24"/>
          <w:szCs w:val="24"/>
        </w:rPr>
        <w:t>.</w:t>
      </w:r>
    </w:p>
    <w:p w14:paraId="12A584A4" w14:textId="77777777" w:rsidR="00E55436" w:rsidRDefault="00E55436" w:rsidP="007A22B7">
      <w:pPr>
        <w:rPr>
          <w:sz w:val="24"/>
          <w:szCs w:val="24"/>
        </w:rPr>
      </w:pPr>
    </w:p>
    <w:p w14:paraId="516CE6B1" w14:textId="6F8EA95C" w:rsidR="00E55436" w:rsidRPr="00174ADC" w:rsidRDefault="00E55436" w:rsidP="007A22B7">
      <w:pPr>
        <w:rPr>
          <w:b/>
          <w:bCs/>
          <w:color w:val="4F81BD" w:themeColor="accent1"/>
          <w:sz w:val="32"/>
          <w:szCs w:val="32"/>
        </w:rPr>
      </w:pPr>
      <w:r w:rsidRPr="00174ADC">
        <w:rPr>
          <w:b/>
          <w:bCs/>
          <w:color w:val="4F81BD" w:themeColor="accent1"/>
          <w:sz w:val="32"/>
          <w:szCs w:val="32"/>
        </w:rPr>
        <w:lastRenderedPageBreak/>
        <w:t>OP37 Возможна ли отмена ингибитора ФНОа у пациентов с ВЗК в стадии ремиссии без увеличения риска рецидива? Результаты рандомизированного клинического исследования GETECCU (EXIT)</w:t>
      </w:r>
    </w:p>
    <w:p w14:paraId="6E7D81DF" w14:textId="00F6AB60" w:rsidR="00E55436" w:rsidRPr="00863E25" w:rsidRDefault="00FF6CE5" w:rsidP="007A22B7">
      <w:r w:rsidRPr="00675C33">
        <w:rPr>
          <w:lang w:val="en-US"/>
        </w:rPr>
        <w:t>Chaparro</w:t>
      </w:r>
      <w:r w:rsidRPr="00863E25">
        <w:t xml:space="preserve">, </w:t>
      </w:r>
      <w:r w:rsidRPr="00675C33">
        <w:rPr>
          <w:lang w:val="en-US"/>
        </w:rPr>
        <w:t>M</w:t>
      </w:r>
      <w:r w:rsidRPr="00863E25">
        <w:t xml:space="preserve">.; </w:t>
      </w:r>
      <w:r w:rsidRPr="00675C33">
        <w:rPr>
          <w:lang w:val="en-US"/>
        </w:rPr>
        <w:t>Garc</w:t>
      </w:r>
      <w:r w:rsidRPr="00863E25">
        <w:t>í</w:t>
      </w:r>
      <w:r w:rsidRPr="00675C33">
        <w:rPr>
          <w:lang w:val="en-US"/>
        </w:rPr>
        <w:t>a</w:t>
      </w:r>
      <w:r w:rsidRPr="00863E25">
        <w:t xml:space="preserve"> </w:t>
      </w:r>
      <w:r w:rsidRPr="00675C33">
        <w:rPr>
          <w:lang w:val="en-US"/>
        </w:rPr>
        <w:t>Donday</w:t>
      </w:r>
      <w:r w:rsidRPr="00863E25">
        <w:t xml:space="preserve">, </w:t>
      </w:r>
      <w:r w:rsidRPr="00675C33">
        <w:rPr>
          <w:lang w:val="en-US"/>
        </w:rPr>
        <w:t>M</w:t>
      </w:r>
      <w:r w:rsidRPr="00863E25">
        <w:t xml:space="preserve">.; </w:t>
      </w:r>
      <w:r w:rsidRPr="00675C33">
        <w:rPr>
          <w:lang w:val="en-US"/>
        </w:rPr>
        <w:t>Riestra</w:t>
      </w:r>
      <w:r w:rsidRPr="00863E25">
        <w:t xml:space="preserve">, </w:t>
      </w:r>
      <w:r w:rsidRPr="00675C33">
        <w:rPr>
          <w:lang w:val="en-US"/>
        </w:rPr>
        <w:t>S</w:t>
      </w:r>
      <w:r w:rsidRPr="00863E25">
        <w:t xml:space="preserve">.; </w:t>
      </w:r>
      <w:r w:rsidRPr="00675C33">
        <w:rPr>
          <w:lang w:val="en-US"/>
        </w:rPr>
        <w:t>Lucendo</w:t>
      </w:r>
      <w:r w:rsidRPr="00863E25">
        <w:t xml:space="preserve">, </w:t>
      </w:r>
      <w:r w:rsidRPr="00675C33">
        <w:rPr>
          <w:lang w:val="en-US"/>
        </w:rPr>
        <w:t>A</w:t>
      </w:r>
      <w:r w:rsidRPr="00863E25">
        <w:t>.</w:t>
      </w:r>
      <w:r w:rsidRPr="00675C33">
        <w:rPr>
          <w:lang w:val="en-US"/>
        </w:rPr>
        <w:t>J</w:t>
      </w:r>
      <w:r w:rsidRPr="00863E25">
        <w:t xml:space="preserve">.; </w:t>
      </w:r>
      <w:r w:rsidRPr="00675C33">
        <w:rPr>
          <w:lang w:val="en-US"/>
        </w:rPr>
        <w:t>Ben</w:t>
      </w:r>
      <w:r w:rsidRPr="00863E25">
        <w:t>í</w:t>
      </w:r>
      <w:r w:rsidRPr="00675C33">
        <w:rPr>
          <w:lang w:val="en-US"/>
        </w:rPr>
        <w:t>tez</w:t>
      </w:r>
      <w:r w:rsidRPr="00863E25">
        <w:t xml:space="preserve">, </w:t>
      </w:r>
      <w:r w:rsidRPr="00675C33">
        <w:rPr>
          <w:lang w:val="en-US"/>
        </w:rPr>
        <w:t>J</w:t>
      </w:r>
      <w:r w:rsidRPr="00863E25">
        <w:t>.</w:t>
      </w:r>
      <w:r w:rsidRPr="00675C33">
        <w:rPr>
          <w:lang w:val="en-US"/>
        </w:rPr>
        <w:t>M</w:t>
      </w:r>
      <w:r w:rsidRPr="00863E25">
        <w:t>.;</w:t>
      </w:r>
      <w:r w:rsidR="00EA6995" w:rsidRPr="00863E25">
        <w:t xml:space="preserve"> </w:t>
      </w:r>
      <w:r w:rsidRPr="00675C33">
        <w:rPr>
          <w:lang w:val="en-US"/>
        </w:rPr>
        <w:t>Navarro</w:t>
      </w:r>
      <w:r w:rsidRPr="00863E25">
        <w:t>-</w:t>
      </w:r>
      <w:r w:rsidRPr="00675C33">
        <w:rPr>
          <w:lang w:val="en-US"/>
        </w:rPr>
        <w:t>Llavat</w:t>
      </w:r>
      <w:r w:rsidRPr="00863E25">
        <w:t xml:space="preserve">, </w:t>
      </w:r>
      <w:r w:rsidRPr="00675C33">
        <w:rPr>
          <w:lang w:val="en-US"/>
        </w:rPr>
        <w:t>M</w:t>
      </w:r>
      <w:r w:rsidR="00EA6995" w:rsidRPr="00863E25">
        <w:t xml:space="preserve"> </w:t>
      </w:r>
      <w:r w:rsidR="00EA6995" w:rsidRPr="00675C33">
        <w:rPr>
          <w:lang w:val="en-US"/>
        </w:rPr>
        <w:t>et</w:t>
      </w:r>
      <w:r w:rsidR="00EA6995" w:rsidRPr="00863E25">
        <w:t xml:space="preserve"> </w:t>
      </w:r>
      <w:r w:rsidR="00EA6995" w:rsidRPr="00675C33">
        <w:rPr>
          <w:lang w:val="en-US"/>
        </w:rPr>
        <w:t>al</w:t>
      </w:r>
      <w:r w:rsidR="00EA6995" w:rsidRPr="00863E25">
        <w:t>.</w:t>
      </w:r>
    </w:p>
    <w:p w14:paraId="0A8D49BB" w14:textId="4AF68778" w:rsidR="007F2E46" w:rsidRDefault="00384B5D" w:rsidP="004476D8">
      <w:pPr>
        <w:ind w:firstLine="708"/>
        <w:rPr>
          <w:sz w:val="24"/>
          <w:szCs w:val="24"/>
        </w:rPr>
      </w:pPr>
      <w:r w:rsidRPr="00174ADC">
        <w:rPr>
          <w:sz w:val="24"/>
          <w:szCs w:val="24"/>
        </w:rPr>
        <w:t>Проспективно</w:t>
      </w:r>
      <w:r w:rsidR="005E7CB8">
        <w:rPr>
          <w:sz w:val="24"/>
          <w:szCs w:val="24"/>
        </w:rPr>
        <w:t>е</w:t>
      </w:r>
      <w:r w:rsidRPr="00174ADC">
        <w:rPr>
          <w:sz w:val="24"/>
          <w:szCs w:val="24"/>
        </w:rPr>
        <w:t>, многоцентровое, рандомизированное, контролируемое исследование. Пациенты с язвенным колитом (ЯК) или болезнью Крона (БК) в стадии клинической ремиссии в течение &gt; 6 месяцев были рандомизированы для продолжения терапии анти-ФНО</w:t>
      </w:r>
      <w:r>
        <w:rPr>
          <w:sz w:val="24"/>
          <w:szCs w:val="24"/>
        </w:rPr>
        <w:t xml:space="preserve"> (ИНФ, АДА)</w:t>
      </w:r>
      <w:r w:rsidR="00EE4381">
        <w:rPr>
          <w:sz w:val="24"/>
          <w:szCs w:val="24"/>
        </w:rPr>
        <w:t>- группа продолжения (ГП)</w:t>
      </w:r>
      <w:r w:rsidRPr="00174ADC">
        <w:rPr>
          <w:sz w:val="24"/>
          <w:szCs w:val="24"/>
        </w:rPr>
        <w:t xml:space="preserve"> или для ее отмены</w:t>
      </w:r>
      <w:r w:rsidR="00EE4381">
        <w:rPr>
          <w:sz w:val="24"/>
          <w:szCs w:val="24"/>
        </w:rPr>
        <w:t xml:space="preserve"> </w:t>
      </w:r>
      <w:r w:rsidR="00532A02">
        <w:rPr>
          <w:sz w:val="24"/>
          <w:szCs w:val="24"/>
        </w:rPr>
        <w:t xml:space="preserve">- </w:t>
      </w:r>
      <w:r w:rsidR="000D77F2">
        <w:rPr>
          <w:sz w:val="24"/>
          <w:szCs w:val="24"/>
        </w:rPr>
        <w:t>группа отмены (ГО)</w:t>
      </w:r>
      <w:r w:rsidR="007F2E46">
        <w:rPr>
          <w:sz w:val="24"/>
          <w:szCs w:val="24"/>
        </w:rPr>
        <w:t>.</w:t>
      </w:r>
      <w:r w:rsidR="0095780D" w:rsidRPr="0095780D">
        <w:rPr>
          <w:sz w:val="24"/>
          <w:szCs w:val="24"/>
        </w:rPr>
        <w:t xml:space="preserve"> </w:t>
      </w:r>
      <w:r w:rsidR="0095780D" w:rsidRPr="00174ADC">
        <w:rPr>
          <w:sz w:val="24"/>
          <w:szCs w:val="24"/>
        </w:rPr>
        <w:t>Пациентов наблюдали до 12 месяцев или до момента клинического рецидива, в зависимости от того, что наступило раньше.</w:t>
      </w:r>
    </w:p>
    <w:p w14:paraId="2A574152" w14:textId="641EBEDE" w:rsidR="00174ADC" w:rsidRPr="00174ADC" w:rsidRDefault="00174ADC" w:rsidP="00174ADC">
      <w:pPr>
        <w:rPr>
          <w:sz w:val="24"/>
          <w:szCs w:val="24"/>
        </w:rPr>
      </w:pPr>
      <w:r w:rsidRPr="00174ADC">
        <w:rPr>
          <w:sz w:val="24"/>
          <w:szCs w:val="24"/>
        </w:rPr>
        <w:t>Цели: Первичная: сравнить частоту клинической ремиссии через 1 год у пациентов, прекративших лечение анти-ФНО, и у тех, кто продолжает лечение. Втор</w:t>
      </w:r>
      <w:r w:rsidR="00107580">
        <w:rPr>
          <w:sz w:val="24"/>
          <w:szCs w:val="24"/>
        </w:rPr>
        <w:t>ичные</w:t>
      </w:r>
      <w:r w:rsidRPr="00174ADC">
        <w:rPr>
          <w:sz w:val="24"/>
          <w:szCs w:val="24"/>
        </w:rPr>
        <w:t xml:space="preserve"> цели: влияние отмены анти-ФНО на безрецидивное время, заживление слизистой оболочки и безопасность; выявить прогностические факторы рецидива.</w:t>
      </w:r>
    </w:p>
    <w:p w14:paraId="2E084F8E" w14:textId="54556B81" w:rsidR="00406EFC" w:rsidRDefault="00761CC1" w:rsidP="00761CC1">
      <w:pPr>
        <w:ind w:firstLine="708"/>
        <w:rPr>
          <w:sz w:val="24"/>
          <w:szCs w:val="24"/>
        </w:rPr>
      </w:pPr>
      <w:r w:rsidRPr="00761CC1">
        <w:rPr>
          <w:sz w:val="24"/>
          <w:szCs w:val="24"/>
        </w:rPr>
        <w:t xml:space="preserve">140 </w:t>
      </w:r>
      <w:r>
        <w:rPr>
          <w:sz w:val="24"/>
          <w:szCs w:val="24"/>
        </w:rPr>
        <w:t xml:space="preserve">пациентов </w:t>
      </w:r>
      <w:r w:rsidRPr="00761CC1">
        <w:rPr>
          <w:sz w:val="24"/>
          <w:szCs w:val="24"/>
        </w:rPr>
        <w:t xml:space="preserve">были рандомизированы и составили когорту </w:t>
      </w:r>
      <w:r w:rsidRPr="00761CC1">
        <w:rPr>
          <w:sz w:val="24"/>
          <w:szCs w:val="24"/>
          <w:lang w:val="en-US"/>
        </w:rPr>
        <w:t>ITT</w:t>
      </w:r>
      <w:r w:rsidRPr="00761CC1">
        <w:rPr>
          <w:sz w:val="24"/>
          <w:szCs w:val="24"/>
        </w:rPr>
        <w:t xml:space="preserve">: 70 были распределены в </w:t>
      </w:r>
      <w:r w:rsidR="00806F57">
        <w:rPr>
          <w:sz w:val="24"/>
          <w:szCs w:val="24"/>
        </w:rPr>
        <w:t>ГП</w:t>
      </w:r>
      <w:r w:rsidRPr="00761CC1">
        <w:rPr>
          <w:sz w:val="24"/>
          <w:szCs w:val="24"/>
        </w:rPr>
        <w:t xml:space="preserve"> и 70 </w:t>
      </w:r>
      <w:r w:rsidR="004476D8">
        <w:rPr>
          <w:sz w:val="24"/>
          <w:szCs w:val="24"/>
        </w:rPr>
        <w:t xml:space="preserve">- </w:t>
      </w:r>
      <w:r w:rsidRPr="00761CC1">
        <w:rPr>
          <w:sz w:val="24"/>
          <w:szCs w:val="24"/>
        </w:rPr>
        <w:t xml:space="preserve">в </w:t>
      </w:r>
      <w:r w:rsidR="00806F57">
        <w:rPr>
          <w:sz w:val="24"/>
          <w:szCs w:val="24"/>
        </w:rPr>
        <w:t>ГО</w:t>
      </w:r>
      <w:r w:rsidRPr="00761CC1">
        <w:rPr>
          <w:sz w:val="24"/>
          <w:szCs w:val="24"/>
        </w:rPr>
        <w:t>. Доли пациентов, у которых сохранялась клиническая ремиссия -84%</w:t>
      </w:r>
      <w:r w:rsidR="00806F57">
        <w:rPr>
          <w:sz w:val="24"/>
          <w:szCs w:val="24"/>
        </w:rPr>
        <w:t xml:space="preserve"> </w:t>
      </w:r>
      <w:r w:rsidRPr="00761CC1">
        <w:rPr>
          <w:sz w:val="24"/>
          <w:szCs w:val="24"/>
        </w:rPr>
        <w:t xml:space="preserve">в </w:t>
      </w:r>
      <w:r w:rsidR="00806F57">
        <w:rPr>
          <w:sz w:val="24"/>
          <w:szCs w:val="24"/>
        </w:rPr>
        <w:t>ГП</w:t>
      </w:r>
      <w:r w:rsidRPr="00761CC1">
        <w:rPr>
          <w:sz w:val="24"/>
          <w:szCs w:val="24"/>
        </w:rPr>
        <w:t xml:space="preserve"> по сравнению </w:t>
      </w:r>
      <w:r w:rsidR="00806F57">
        <w:rPr>
          <w:sz w:val="24"/>
          <w:szCs w:val="24"/>
        </w:rPr>
        <w:t xml:space="preserve">с </w:t>
      </w:r>
      <w:r w:rsidRPr="00761CC1">
        <w:rPr>
          <w:sz w:val="24"/>
          <w:szCs w:val="24"/>
        </w:rPr>
        <w:t>76%</w:t>
      </w:r>
      <w:r w:rsidR="002943BC">
        <w:rPr>
          <w:sz w:val="24"/>
          <w:szCs w:val="24"/>
        </w:rPr>
        <w:t xml:space="preserve"> в ГО</w:t>
      </w:r>
      <w:r w:rsidR="00107F75">
        <w:rPr>
          <w:sz w:val="24"/>
          <w:szCs w:val="24"/>
        </w:rPr>
        <w:t xml:space="preserve">. Пропорции пациентов, </w:t>
      </w:r>
      <w:r w:rsidRPr="00761CC1">
        <w:rPr>
          <w:sz w:val="24"/>
          <w:szCs w:val="24"/>
        </w:rPr>
        <w:t>у которых не было значительных эндоскопически</w:t>
      </w:r>
      <w:r w:rsidR="00107F75">
        <w:rPr>
          <w:sz w:val="24"/>
          <w:szCs w:val="24"/>
        </w:rPr>
        <w:t>х ухудшений</w:t>
      </w:r>
      <w:r w:rsidRPr="00761CC1">
        <w:rPr>
          <w:sz w:val="24"/>
          <w:szCs w:val="24"/>
        </w:rPr>
        <w:t xml:space="preserve"> в конце наблюдения, были одинаковыми между группам</w:t>
      </w:r>
      <w:r w:rsidR="00863E7F">
        <w:rPr>
          <w:sz w:val="24"/>
          <w:szCs w:val="24"/>
        </w:rPr>
        <w:t>и</w:t>
      </w:r>
      <w:r w:rsidRPr="00761CC1">
        <w:rPr>
          <w:sz w:val="24"/>
          <w:szCs w:val="24"/>
        </w:rPr>
        <w:t xml:space="preserve">. Только доля пациентов с ФК &gt;250 мг/г была выше в </w:t>
      </w:r>
      <w:r w:rsidR="00863E7F">
        <w:rPr>
          <w:sz w:val="24"/>
          <w:szCs w:val="24"/>
        </w:rPr>
        <w:t>группе отмены</w:t>
      </w:r>
      <w:r w:rsidRPr="00761CC1">
        <w:rPr>
          <w:sz w:val="24"/>
          <w:szCs w:val="24"/>
        </w:rPr>
        <w:t xml:space="preserve"> к концу наблюдения. У одного и того же процента пациентов в обеих группах было хотя бы одно нежелательное явление (69%). Дол</w:t>
      </w:r>
      <w:r w:rsidR="00CF7473">
        <w:rPr>
          <w:sz w:val="24"/>
          <w:szCs w:val="24"/>
        </w:rPr>
        <w:t xml:space="preserve">и </w:t>
      </w:r>
      <w:r w:rsidRPr="00761CC1">
        <w:rPr>
          <w:sz w:val="24"/>
          <w:szCs w:val="24"/>
        </w:rPr>
        <w:t>пациентов с серьезными нежелательными явлениями также был</w:t>
      </w:r>
      <w:r w:rsidR="00CF7473">
        <w:rPr>
          <w:sz w:val="24"/>
          <w:szCs w:val="24"/>
        </w:rPr>
        <w:t>и</w:t>
      </w:r>
      <w:r w:rsidRPr="00761CC1">
        <w:rPr>
          <w:sz w:val="24"/>
          <w:szCs w:val="24"/>
        </w:rPr>
        <w:t xml:space="preserve"> </w:t>
      </w:r>
      <w:r w:rsidR="00CF7473">
        <w:rPr>
          <w:sz w:val="24"/>
          <w:szCs w:val="24"/>
        </w:rPr>
        <w:t>сопоставимыми</w:t>
      </w:r>
      <w:r w:rsidRPr="00761CC1">
        <w:rPr>
          <w:sz w:val="24"/>
          <w:szCs w:val="24"/>
        </w:rPr>
        <w:t xml:space="preserve"> между группами (4% в </w:t>
      </w:r>
      <w:r w:rsidR="00CF7473">
        <w:rPr>
          <w:sz w:val="24"/>
          <w:szCs w:val="24"/>
        </w:rPr>
        <w:t>ГП</w:t>
      </w:r>
      <w:r w:rsidRPr="00761CC1">
        <w:rPr>
          <w:sz w:val="24"/>
          <w:szCs w:val="24"/>
        </w:rPr>
        <w:t xml:space="preserve"> против 7% в </w:t>
      </w:r>
      <w:r w:rsidR="00CF7473">
        <w:rPr>
          <w:sz w:val="24"/>
          <w:szCs w:val="24"/>
        </w:rPr>
        <w:t>ГО</w:t>
      </w:r>
      <w:r w:rsidRPr="00761CC1">
        <w:rPr>
          <w:sz w:val="24"/>
          <w:szCs w:val="24"/>
        </w:rPr>
        <w:t>).</w:t>
      </w:r>
    </w:p>
    <w:p w14:paraId="39F8C9B4" w14:textId="35939F20" w:rsidR="00603C74" w:rsidRDefault="00603C74" w:rsidP="00761CC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5B3AF9" wp14:editId="2B05E084">
            <wp:extent cx="2606276" cy="463395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04" cy="469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9BB2C" w14:textId="6AFE7B1E" w:rsidR="00FD4390" w:rsidRPr="00023B9C" w:rsidRDefault="00023B9C" w:rsidP="00023B9C">
      <w:pPr>
        <w:ind w:firstLine="708"/>
        <w:rPr>
          <w:sz w:val="24"/>
          <w:szCs w:val="24"/>
        </w:rPr>
      </w:pPr>
      <w:r w:rsidRPr="00023B9C">
        <w:rPr>
          <w:sz w:val="24"/>
          <w:szCs w:val="24"/>
        </w:rPr>
        <w:lastRenderedPageBreak/>
        <w:t>ЗАКЛЮЧЕНИЕ</w:t>
      </w:r>
      <w:r>
        <w:rPr>
          <w:sz w:val="24"/>
          <w:szCs w:val="24"/>
        </w:rPr>
        <w:t xml:space="preserve">. </w:t>
      </w:r>
      <w:r w:rsidRPr="00023B9C">
        <w:rPr>
          <w:sz w:val="24"/>
          <w:szCs w:val="24"/>
        </w:rPr>
        <w:t>Отмена анти-ФНО у отдельных пациентов с ВЗК в клинической, эндоскопической и рентгенологической ремиссии может быть осуществима без увеличения риска клинического рецидива. Необходимо длительное наблюдение за такими пациентами.</w:t>
      </w:r>
    </w:p>
    <w:p w14:paraId="3EC690D5" w14:textId="77777777" w:rsidR="00406EFC" w:rsidRDefault="00406EFC" w:rsidP="007A22B7">
      <w:pPr>
        <w:rPr>
          <w:sz w:val="24"/>
          <w:szCs w:val="24"/>
        </w:rPr>
      </w:pPr>
    </w:p>
    <w:p w14:paraId="4451F87D" w14:textId="77777777" w:rsidR="000D7C1F" w:rsidRDefault="000D7C1F" w:rsidP="007A22B7">
      <w:pPr>
        <w:rPr>
          <w:sz w:val="24"/>
          <w:szCs w:val="24"/>
        </w:rPr>
      </w:pPr>
    </w:p>
    <w:p w14:paraId="58E45434" w14:textId="65229596" w:rsidR="00697B2B" w:rsidRPr="000D7C1F" w:rsidRDefault="001E76A9" w:rsidP="007A22B7">
      <w:pPr>
        <w:rPr>
          <w:b/>
          <w:bCs/>
          <w:color w:val="4F81BD" w:themeColor="accent1"/>
          <w:sz w:val="32"/>
          <w:szCs w:val="32"/>
        </w:rPr>
      </w:pPr>
      <w:r w:rsidRPr="000D7C1F">
        <w:rPr>
          <w:b/>
          <w:bCs/>
          <w:color w:val="4F81BD" w:themeColor="accent1"/>
          <w:sz w:val="32"/>
          <w:szCs w:val="32"/>
        </w:rPr>
        <w:t xml:space="preserve">OP36 </w:t>
      </w:r>
      <w:r w:rsidR="00ED3880">
        <w:rPr>
          <w:b/>
          <w:bCs/>
          <w:color w:val="4F81BD" w:themeColor="accent1"/>
          <w:sz w:val="32"/>
          <w:szCs w:val="32"/>
        </w:rPr>
        <w:t>С</w:t>
      </w:r>
      <w:r w:rsidRPr="000D7C1F">
        <w:rPr>
          <w:b/>
          <w:bCs/>
          <w:color w:val="4F81BD" w:themeColor="accent1"/>
          <w:sz w:val="32"/>
          <w:szCs w:val="32"/>
        </w:rPr>
        <w:t>равнительн</w:t>
      </w:r>
      <w:r w:rsidR="00ED3880">
        <w:rPr>
          <w:b/>
          <w:bCs/>
          <w:color w:val="4F81BD" w:themeColor="accent1"/>
          <w:sz w:val="32"/>
          <w:szCs w:val="32"/>
        </w:rPr>
        <w:t>ая</w:t>
      </w:r>
      <w:r w:rsidRPr="000D7C1F">
        <w:rPr>
          <w:b/>
          <w:bCs/>
          <w:color w:val="4F81BD" w:themeColor="accent1"/>
          <w:sz w:val="32"/>
          <w:szCs w:val="32"/>
        </w:rPr>
        <w:t xml:space="preserve"> эффективност</w:t>
      </w:r>
      <w:r w:rsidR="00ED3880">
        <w:rPr>
          <w:b/>
          <w:bCs/>
          <w:color w:val="4F81BD" w:themeColor="accent1"/>
          <w:sz w:val="32"/>
          <w:szCs w:val="32"/>
        </w:rPr>
        <w:t>ь</w:t>
      </w:r>
      <w:r w:rsidRPr="000D7C1F">
        <w:rPr>
          <w:b/>
          <w:bCs/>
          <w:color w:val="4F81BD" w:themeColor="accent1"/>
          <w:sz w:val="32"/>
          <w:szCs w:val="32"/>
        </w:rPr>
        <w:t xml:space="preserve"> устекинумаба и анти-ФНО при болезни Крона с корректировкой шкалы предрасположенности: результаты</w:t>
      </w:r>
      <w:r w:rsidR="00ED3880">
        <w:rPr>
          <w:b/>
          <w:bCs/>
          <w:color w:val="4F81BD" w:themeColor="accent1"/>
          <w:sz w:val="32"/>
          <w:szCs w:val="32"/>
        </w:rPr>
        <w:t xml:space="preserve"> </w:t>
      </w:r>
      <w:r w:rsidRPr="000D7C1F">
        <w:rPr>
          <w:b/>
          <w:bCs/>
          <w:color w:val="4F81BD" w:themeColor="accent1"/>
          <w:sz w:val="32"/>
          <w:szCs w:val="32"/>
        </w:rPr>
        <w:t>исследования RUN-CD</w:t>
      </w:r>
    </w:p>
    <w:p w14:paraId="0529DE9A" w14:textId="620866E5" w:rsidR="001E76A9" w:rsidRPr="000D7C1F" w:rsidRDefault="000D7C1F" w:rsidP="007A22B7">
      <w:pPr>
        <w:rPr>
          <w:lang w:val="en-US"/>
        </w:rPr>
      </w:pPr>
      <w:r w:rsidRPr="000D7C1F">
        <w:rPr>
          <w:lang w:val="en-US"/>
        </w:rPr>
        <w:t xml:space="preserve">Bokemeyer, B.;Plachta-Danielzik, S.;Deppe, H.;Mohl, W.;Teich, N.;Hoffstadt, M.;Schweitzer, A. </w:t>
      </w:r>
      <w:r>
        <w:rPr>
          <w:lang w:val="en-US"/>
        </w:rPr>
        <w:t>et al.</w:t>
      </w:r>
    </w:p>
    <w:p w14:paraId="67239F96" w14:textId="770775B8" w:rsidR="00780767" w:rsidRPr="004F770B" w:rsidRDefault="00780767" w:rsidP="004F770B">
      <w:pPr>
        <w:ind w:firstLine="708"/>
        <w:rPr>
          <w:sz w:val="28"/>
          <w:szCs w:val="28"/>
        </w:rPr>
      </w:pPr>
      <w:r w:rsidRPr="00ED3880">
        <w:rPr>
          <w:sz w:val="24"/>
          <w:szCs w:val="24"/>
        </w:rPr>
        <w:t xml:space="preserve">В рамках регистра RUN-CD в 44 центрах с опытом лечения ВЗК по всей Германии в период с 2017 по 2020 г. был зарегистрирован 901 пациент с болезнью Крона, проходящих недавно начатую терапию биологическими препаратами, с последующим наблюдением в течение 3 лет. </w:t>
      </w:r>
    </w:p>
    <w:p w14:paraId="23596926" w14:textId="17EAC16C" w:rsidR="00780767" w:rsidRPr="009055D6" w:rsidRDefault="00E12D12" w:rsidP="00780767">
      <w:pPr>
        <w:rPr>
          <w:sz w:val="24"/>
          <w:szCs w:val="24"/>
        </w:rPr>
      </w:pPr>
      <w:r w:rsidRPr="009055D6">
        <w:rPr>
          <w:sz w:val="24"/>
          <w:szCs w:val="24"/>
        </w:rPr>
        <w:t>В</w:t>
      </w:r>
      <w:r w:rsidR="00780767" w:rsidRPr="009055D6">
        <w:rPr>
          <w:sz w:val="24"/>
          <w:szCs w:val="24"/>
        </w:rPr>
        <w:t xml:space="preserve">ыборка состояла из 550 пациентов с болезнью Крона. Клиническая ремиссия (HBI ≤ 4) была предопределенной конечной точкой на 24-м месяце, и, кроме того, смена биопрепаратов рассматривалась как неблагоприятный исход. </w:t>
      </w:r>
    </w:p>
    <w:p w14:paraId="1F4638E2" w14:textId="08E9F84D" w:rsidR="00642FCE" w:rsidRPr="009055D6" w:rsidRDefault="00780767" w:rsidP="00780767">
      <w:pPr>
        <w:rPr>
          <w:sz w:val="24"/>
          <w:szCs w:val="24"/>
        </w:rPr>
      </w:pPr>
      <w:r w:rsidRPr="009055D6">
        <w:rPr>
          <w:sz w:val="24"/>
          <w:szCs w:val="24"/>
        </w:rPr>
        <w:t>ПОЛУЧЕННЫЕ РЕЗУЛЬТАТЫ</w:t>
      </w:r>
      <w:r w:rsidR="00D54CA5" w:rsidRPr="009055D6">
        <w:rPr>
          <w:sz w:val="24"/>
          <w:szCs w:val="24"/>
        </w:rPr>
        <w:t xml:space="preserve">. </w:t>
      </w:r>
      <w:r w:rsidRPr="009055D6">
        <w:rPr>
          <w:sz w:val="24"/>
          <w:szCs w:val="24"/>
        </w:rPr>
        <w:t>Было включено 308 У</w:t>
      </w:r>
      <w:r w:rsidR="00D54CA5" w:rsidRPr="009055D6">
        <w:rPr>
          <w:sz w:val="24"/>
          <w:szCs w:val="24"/>
        </w:rPr>
        <w:t>С</w:t>
      </w:r>
      <w:r w:rsidRPr="009055D6">
        <w:rPr>
          <w:sz w:val="24"/>
          <w:szCs w:val="24"/>
        </w:rPr>
        <w:t xml:space="preserve">Т (наивные: 27) и 242 анти-ФНО (наивные: 162) пациентов </w:t>
      </w:r>
      <w:r w:rsidR="004D640E" w:rsidRPr="009055D6">
        <w:rPr>
          <w:sz w:val="24"/>
          <w:szCs w:val="24"/>
        </w:rPr>
        <w:t xml:space="preserve"> - </w:t>
      </w:r>
      <w:r w:rsidRPr="009055D6">
        <w:rPr>
          <w:sz w:val="24"/>
          <w:szCs w:val="24"/>
        </w:rPr>
        <w:t>A</w:t>
      </w:r>
      <w:r w:rsidR="004D640E" w:rsidRPr="009055D6">
        <w:rPr>
          <w:sz w:val="24"/>
          <w:szCs w:val="24"/>
        </w:rPr>
        <w:t>Д</w:t>
      </w:r>
      <w:r w:rsidRPr="009055D6">
        <w:rPr>
          <w:sz w:val="24"/>
          <w:szCs w:val="24"/>
        </w:rPr>
        <w:t xml:space="preserve">A: 61,2%, </w:t>
      </w:r>
      <w:r w:rsidR="00EC442B" w:rsidRPr="009055D6">
        <w:rPr>
          <w:sz w:val="24"/>
          <w:szCs w:val="24"/>
        </w:rPr>
        <w:t>ИНФ</w:t>
      </w:r>
      <w:r w:rsidRPr="009055D6">
        <w:rPr>
          <w:sz w:val="24"/>
          <w:szCs w:val="24"/>
        </w:rPr>
        <w:t xml:space="preserve">: 38,8%. Количество переключений в течение 24 месяцев было значительно ниже </w:t>
      </w:r>
      <w:r w:rsidR="00A628A6" w:rsidRPr="009055D6">
        <w:rPr>
          <w:sz w:val="24"/>
          <w:szCs w:val="24"/>
        </w:rPr>
        <w:t>на</w:t>
      </w:r>
      <w:r w:rsidRPr="009055D6">
        <w:rPr>
          <w:sz w:val="24"/>
          <w:szCs w:val="24"/>
        </w:rPr>
        <w:t xml:space="preserve"> У</w:t>
      </w:r>
      <w:r w:rsidR="00D54CA5" w:rsidRPr="009055D6">
        <w:rPr>
          <w:sz w:val="24"/>
          <w:szCs w:val="24"/>
        </w:rPr>
        <w:t>С</w:t>
      </w:r>
      <w:r w:rsidRPr="009055D6">
        <w:rPr>
          <w:sz w:val="24"/>
          <w:szCs w:val="24"/>
        </w:rPr>
        <w:t xml:space="preserve">Т, чем </w:t>
      </w:r>
      <w:r w:rsidR="00A628A6" w:rsidRPr="009055D6">
        <w:rPr>
          <w:sz w:val="24"/>
          <w:szCs w:val="24"/>
        </w:rPr>
        <w:t>на</w:t>
      </w:r>
      <w:r w:rsidRPr="009055D6">
        <w:rPr>
          <w:sz w:val="24"/>
          <w:szCs w:val="24"/>
        </w:rPr>
        <w:t xml:space="preserve"> анти-ФНО (27,6% против 37,1%; р=0,038) и особенно </w:t>
      </w:r>
      <w:r w:rsidR="00A628A6" w:rsidRPr="009055D6">
        <w:rPr>
          <w:sz w:val="24"/>
          <w:szCs w:val="24"/>
        </w:rPr>
        <w:t>на</w:t>
      </w:r>
      <w:r w:rsidRPr="009055D6">
        <w:rPr>
          <w:sz w:val="24"/>
          <w:szCs w:val="24"/>
        </w:rPr>
        <w:t xml:space="preserve"> И</w:t>
      </w:r>
      <w:r w:rsidR="004D640E" w:rsidRPr="009055D6">
        <w:rPr>
          <w:sz w:val="24"/>
          <w:szCs w:val="24"/>
        </w:rPr>
        <w:t>НФ</w:t>
      </w:r>
      <w:r w:rsidR="00A628A6" w:rsidRPr="009055D6">
        <w:rPr>
          <w:sz w:val="24"/>
          <w:szCs w:val="24"/>
        </w:rPr>
        <w:t xml:space="preserve"> </w:t>
      </w:r>
      <w:r w:rsidRPr="009055D6">
        <w:rPr>
          <w:sz w:val="24"/>
          <w:szCs w:val="24"/>
        </w:rPr>
        <w:t xml:space="preserve">(27,6% против 46,7%; р=0,003). Клиническая ремиссия через два года статистически не отличалась для </w:t>
      </w:r>
      <w:r w:rsidR="00EC442B" w:rsidRPr="009055D6">
        <w:rPr>
          <w:sz w:val="24"/>
          <w:szCs w:val="24"/>
        </w:rPr>
        <w:t>обеих</w:t>
      </w:r>
      <w:r w:rsidRPr="009055D6">
        <w:rPr>
          <w:sz w:val="24"/>
          <w:szCs w:val="24"/>
        </w:rPr>
        <w:t xml:space="preserve"> групп (51,2% против 54,4) (численно выше у пациентов, ранее не получавших У</w:t>
      </w:r>
      <w:r w:rsidR="00283D8F" w:rsidRPr="009055D6">
        <w:rPr>
          <w:sz w:val="24"/>
          <w:szCs w:val="24"/>
        </w:rPr>
        <w:t>С</w:t>
      </w:r>
      <w:r w:rsidRPr="009055D6">
        <w:rPr>
          <w:sz w:val="24"/>
          <w:szCs w:val="24"/>
        </w:rPr>
        <w:t>Т, по сравнению с пациентами, получавшими анти-ФНО, без статистической значимости)</w:t>
      </w:r>
      <w:r w:rsidR="00642FCE" w:rsidRPr="009055D6">
        <w:rPr>
          <w:sz w:val="24"/>
          <w:szCs w:val="24"/>
        </w:rPr>
        <w:t>.</w:t>
      </w:r>
    </w:p>
    <w:p w14:paraId="49511D3D" w14:textId="3C80996B" w:rsidR="00780767" w:rsidRPr="009055D6" w:rsidRDefault="00780767" w:rsidP="00642FCE">
      <w:pPr>
        <w:ind w:firstLine="708"/>
        <w:rPr>
          <w:sz w:val="24"/>
          <w:szCs w:val="24"/>
        </w:rPr>
      </w:pPr>
      <w:r w:rsidRPr="009055D6">
        <w:rPr>
          <w:sz w:val="24"/>
          <w:szCs w:val="24"/>
        </w:rPr>
        <w:t xml:space="preserve">Показатели ремиссии были одинаковыми для </w:t>
      </w:r>
      <w:r w:rsidR="00642FCE" w:rsidRPr="009055D6">
        <w:rPr>
          <w:sz w:val="24"/>
          <w:szCs w:val="24"/>
        </w:rPr>
        <w:t>УС</w:t>
      </w:r>
      <w:r w:rsidRPr="009055D6">
        <w:rPr>
          <w:sz w:val="24"/>
          <w:szCs w:val="24"/>
        </w:rPr>
        <w:t>T и A</w:t>
      </w:r>
      <w:r w:rsidR="00283D8F" w:rsidRPr="009055D6">
        <w:rPr>
          <w:sz w:val="24"/>
          <w:szCs w:val="24"/>
        </w:rPr>
        <w:t>Д</w:t>
      </w:r>
      <w:r w:rsidRPr="009055D6">
        <w:rPr>
          <w:sz w:val="24"/>
          <w:szCs w:val="24"/>
        </w:rPr>
        <w:t xml:space="preserve">A, в то время как они были значительно выше для </w:t>
      </w:r>
      <w:r w:rsidR="00283D8F" w:rsidRPr="009055D6">
        <w:rPr>
          <w:sz w:val="24"/>
          <w:szCs w:val="24"/>
        </w:rPr>
        <w:t>УСТ</w:t>
      </w:r>
      <w:r w:rsidRPr="009055D6">
        <w:rPr>
          <w:sz w:val="24"/>
          <w:szCs w:val="24"/>
        </w:rPr>
        <w:t xml:space="preserve"> по сравнению с </w:t>
      </w:r>
      <w:r w:rsidR="00283D8F" w:rsidRPr="009055D6">
        <w:rPr>
          <w:sz w:val="24"/>
          <w:szCs w:val="24"/>
        </w:rPr>
        <w:t>ИНФ</w:t>
      </w:r>
      <w:r w:rsidRPr="009055D6">
        <w:rPr>
          <w:sz w:val="24"/>
          <w:szCs w:val="24"/>
        </w:rPr>
        <w:t xml:space="preserve"> (54,4% против 37,9%; p = 0,008), а также значительно выше для </w:t>
      </w:r>
      <w:r w:rsidR="005E7739" w:rsidRPr="009055D6">
        <w:rPr>
          <w:sz w:val="24"/>
          <w:szCs w:val="24"/>
        </w:rPr>
        <w:t>АДА</w:t>
      </w:r>
      <w:r w:rsidRPr="009055D6">
        <w:rPr>
          <w:sz w:val="24"/>
          <w:szCs w:val="24"/>
        </w:rPr>
        <w:t xml:space="preserve"> по сравнению с </w:t>
      </w:r>
      <w:r w:rsidR="005E7739" w:rsidRPr="009055D6">
        <w:rPr>
          <w:sz w:val="24"/>
          <w:szCs w:val="24"/>
        </w:rPr>
        <w:t>ИНФ</w:t>
      </w:r>
      <w:r w:rsidRPr="009055D6">
        <w:rPr>
          <w:sz w:val="24"/>
          <w:szCs w:val="24"/>
        </w:rPr>
        <w:t xml:space="preserve"> (58,2% против 37,9%, p = 0,003). В качестве признака улучшения качества жизни</w:t>
      </w:r>
      <w:r w:rsidR="00F143FB">
        <w:rPr>
          <w:sz w:val="24"/>
          <w:szCs w:val="24"/>
        </w:rPr>
        <w:t xml:space="preserve"> </w:t>
      </w:r>
      <w:r w:rsidRPr="009055D6">
        <w:rPr>
          <w:sz w:val="24"/>
          <w:szCs w:val="24"/>
        </w:rPr>
        <w:t>наблюда</w:t>
      </w:r>
      <w:r w:rsidR="00F143FB">
        <w:rPr>
          <w:sz w:val="24"/>
          <w:szCs w:val="24"/>
        </w:rPr>
        <w:t>лось</w:t>
      </w:r>
      <w:r w:rsidRPr="009055D6">
        <w:rPr>
          <w:sz w:val="24"/>
          <w:szCs w:val="24"/>
        </w:rPr>
        <w:t xml:space="preserve"> значительное увеличение EQ-VAS в обеих группах лечения</w:t>
      </w:r>
      <w:r w:rsidR="00F143FB">
        <w:rPr>
          <w:sz w:val="24"/>
          <w:szCs w:val="24"/>
        </w:rPr>
        <w:t xml:space="preserve"> </w:t>
      </w:r>
      <w:r w:rsidRPr="009055D6">
        <w:rPr>
          <w:sz w:val="24"/>
          <w:szCs w:val="24"/>
        </w:rPr>
        <w:t>(+14,2 против +12,3; р=0,147).</w:t>
      </w:r>
    </w:p>
    <w:p w14:paraId="47DB83DA" w14:textId="6C8A85D7" w:rsidR="00780767" w:rsidRPr="009055D6" w:rsidRDefault="0064794F" w:rsidP="0078076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916190F" wp14:editId="36FF3D29">
            <wp:extent cx="3583274" cy="28252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48" cy="283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0AEAE" w14:textId="000DBF0D" w:rsidR="00697B2B" w:rsidRPr="009055D6" w:rsidRDefault="00780767" w:rsidP="00780767">
      <w:pPr>
        <w:rPr>
          <w:sz w:val="24"/>
          <w:szCs w:val="24"/>
        </w:rPr>
      </w:pPr>
      <w:r w:rsidRPr="009055D6">
        <w:rPr>
          <w:sz w:val="24"/>
          <w:szCs w:val="24"/>
        </w:rPr>
        <w:lastRenderedPageBreak/>
        <w:t>ЗАКЛЮЧЕНИЕ</w:t>
      </w:r>
      <w:r w:rsidR="00216F9F" w:rsidRPr="009055D6">
        <w:rPr>
          <w:sz w:val="24"/>
          <w:szCs w:val="24"/>
        </w:rPr>
        <w:t xml:space="preserve">. </w:t>
      </w:r>
      <w:r w:rsidRPr="009055D6">
        <w:rPr>
          <w:sz w:val="24"/>
          <w:szCs w:val="24"/>
        </w:rPr>
        <w:t>В этом проспективном двухлетнем сравнении</w:t>
      </w:r>
      <w:r w:rsidR="00A517D1" w:rsidRPr="009055D6">
        <w:rPr>
          <w:sz w:val="24"/>
          <w:szCs w:val="24"/>
        </w:rPr>
        <w:t xml:space="preserve"> данных реальной клинической практики</w:t>
      </w:r>
      <w:r w:rsidRPr="009055D6">
        <w:rPr>
          <w:sz w:val="24"/>
          <w:szCs w:val="24"/>
        </w:rPr>
        <w:t xml:space="preserve"> клиническая ремиссия была значительно выше </w:t>
      </w:r>
      <w:r w:rsidR="00216F9F" w:rsidRPr="009055D6">
        <w:rPr>
          <w:sz w:val="24"/>
          <w:szCs w:val="24"/>
        </w:rPr>
        <w:t>на терапии</w:t>
      </w:r>
      <w:r w:rsidRPr="009055D6">
        <w:rPr>
          <w:sz w:val="24"/>
          <w:szCs w:val="24"/>
        </w:rPr>
        <w:t xml:space="preserve"> </w:t>
      </w:r>
      <w:r w:rsidR="00216F9F" w:rsidRPr="009055D6">
        <w:rPr>
          <w:sz w:val="24"/>
          <w:szCs w:val="24"/>
        </w:rPr>
        <w:t>УСТ</w:t>
      </w:r>
      <w:r w:rsidRPr="009055D6">
        <w:rPr>
          <w:sz w:val="24"/>
          <w:szCs w:val="24"/>
        </w:rPr>
        <w:t xml:space="preserve"> по сравнению с </w:t>
      </w:r>
      <w:r w:rsidR="00216F9F" w:rsidRPr="009055D6">
        <w:rPr>
          <w:sz w:val="24"/>
          <w:szCs w:val="24"/>
        </w:rPr>
        <w:t>ИНФ</w:t>
      </w:r>
      <w:r w:rsidR="00A517D1" w:rsidRPr="009055D6">
        <w:rPr>
          <w:sz w:val="24"/>
          <w:szCs w:val="24"/>
        </w:rPr>
        <w:t xml:space="preserve">, </w:t>
      </w:r>
      <w:r w:rsidRPr="009055D6">
        <w:rPr>
          <w:sz w:val="24"/>
          <w:szCs w:val="24"/>
        </w:rPr>
        <w:t xml:space="preserve">и выше </w:t>
      </w:r>
      <w:r w:rsidR="00FF4078" w:rsidRPr="009055D6">
        <w:rPr>
          <w:sz w:val="24"/>
          <w:szCs w:val="24"/>
        </w:rPr>
        <w:t>на</w:t>
      </w:r>
      <w:r w:rsidRPr="009055D6">
        <w:rPr>
          <w:sz w:val="24"/>
          <w:szCs w:val="24"/>
        </w:rPr>
        <w:t xml:space="preserve"> A</w:t>
      </w:r>
      <w:r w:rsidR="00FF4078" w:rsidRPr="009055D6">
        <w:rPr>
          <w:sz w:val="24"/>
          <w:szCs w:val="24"/>
        </w:rPr>
        <w:t>Д</w:t>
      </w:r>
      <w:r w:rsidRPr="009055D6">
        <w:rPr>
          <w:sz w:val="24"/>
          <w:szCs w:val="24"/>
        </w:rPr>
        <w:t xml:space="preserve">A, чем </w:t>
      </w:r>
      <w:r w:rsidR="00A517D1" w:rsidRPr="009055D6">
        <w:rPr>
          <w:sz w:val="24"/>
          <w:szCs w:val="24"/>
        </w:rPr>
        <w:t xml:space="preserve">на </w:t>
      </w:r>
      <w:r w:rsidR="00FF4078" w:rsidRPr="009055D6">
        <w:rPr>
          <w:sz w:val="24"/>
          <w:szCs w:val="24"/>
        </w:rPr>
        <w:t>ИНФ</w:t>
      </w:r>
      <w:r w:rsidR="009055D6" w:rsidRPr="009055D6">
        <w:rPr>
          <w:sz w:val="24"/>
          <w:szCs w:val="24"/>
        </w:rPr>
        <w:t xml:space="preserve"> </w:t>
      </w:r>
      <w:r w:rsidR="00FF4078" w:rsidRPr="009055D6">
        <w:rPr>
          <w:sz w:val="24"/>
          <w:szCs w:val="24"/>
        </w:rPr>
        <w:t>из-за более частых переключений в группе ИНФ</w:t>
      </w:r>
      <w:r w:rsidR="009055D6" w:rsidRPr="009055D6">
        <w:rPr>
          <w:sz w:val="24"/>
          <w:szCs w:val="24"/>
        </w:rPr>
        <w:t xml:space="preserve">. </w:t>
      </w:r>
      <w:r w:rsidRPr="009055D6">
        <w:rPr>
          <w:sz w:val="24"/>
          <w:szCs w:val="24"/>
        </w:rPr>
        <w:t>Учитывая результаты эффективности У</w:t>
      </w:r>
      <w:r w:rsidR="00FF4078" w:rsidRPr="009055D6">
        <w:rPr>
          <w:sz w:val="24"/>
          <w:szCs w:val="24"/>
        </w:rPr>
        <w:t>С</w:t>
      </w:r>
      <w:r w:rsidRPr="009055D6">
        <w:rPr>
          <w:sz w:val="24"/>
          <w:szCs w:val="24"/>
        </w:rPr>
        <w:t>Т и доказанный благоприятный профиль безопасности, У</w:t>
      </w:r>
      <w:r w:rsidR="00FF4078" w:rsidRPr="009055D6">
        <w:rPr>
          <w:sz w:val="24"/>
          <w:szCs w:val="24"/>
        </w:rPr>
        <w:t>С</w:t>
      </w:r>
      <w:r w:rsidRPr="009055D6">
        <w:rPr>
          <w:sz w:val="24"/>
          <w:szCs w:val="24"/>
        </w:rPr>
        <w:t>Т можно считать таргетной терапией первой линии при БК.</w:t>
      </w:r>
    </w:p>
    <w:p w14:paraId="6C54C95D" w14:textId="77777777" w:rsidR="00216F9F" w:rsidRDefault="00216F9F" w:rsidP="00780767">
      <w:pPr>
        <w:rPr>
          <w:sz w:val="28"/>
          <w:szCs w:val="28"/>
        </w:rPr>
      </w:pPr>
    </w:p>
    <w:p w14:paraId="1204B8BB" w14:textId="77777777" w:rsidR="00216F9F" w:rsidRPr="004F770B" w:rsidRDefault="00216F9F" w:rsidP="00780767">
      <w:pPr>
        <w:rPr>
          <w:sz w:val="28"/>
          <w:szCs w:val="28"/>
        </w:rPr>
      </w:pPr>
    </w:p>
    <w:p w14:paraId="067D7D52" w14:textId="38D0D37A" w:rsidR="00D80D42" w:rsidRPr="00697B2B" w:rsidRDefault="00D80D42" w:rsidP="007A22B7">
      <w:pPr>
        <w:rPr>
          <w:b/>
          <w:bCs/>
          <w:color w:val="4F81BD" w:themeColor="accent1"/>
          <w:sz w:val="32"/>
          <w:szCs w:val="32"/>
        </w:rPr>
      </w:pPr>
      <w:r w:rsidRPr="00B942A5">
        <w:rPr>
          <w:b/>
          <w:bCs/>
          <w:color w:val="4F81BD" w:themeColor="accent1"/>
          <w:sz w:val="32"/>
          <w:szCs w:val="32"/>
          <w:lang w:val="en-US"/>
        </w:rPr>
        <w:t>OP</w:t>
      </w:r>
      <w:r w:rsidRPr="00B942A5">
        <w:rPr>
          <w:b/>
          <w:bCs/>
          <w:color w:val="4F81BD" w:themeColor="accent1"/>
          <w:sz w:val="32"/>
          <w:szCs w:val="32"/>
        </w:rPr>
        <w:t>15 Эффективность устекинумаба при язвенном колите в течение 4 лет: окончательные клинические и эндоскопические результаты долгосрочно</w:t>
      </w:r>
      <w:r w:rsidR="00ED7DF6" w:rsidRPr="00B942A5">
        <w:rPr>
          <w:b/>
          <w:bCs/>
          <w:color w:val="4F81BD" w:themeColor="accent1"/>
          <w:sz w:val="32"/>
          <w:szCs w:val="32"/>
        </w:rPr>
        <w:t>й</w:t>
      </w:r>
      <w:r w:rsidR="004C3A27" w:rsidRPr="00B942A5">
        <w:rPr>
          <w:b/>
          <w:bCs/>
          <w:color w:val="4F81BD" w:themeColor="accent1"/>
          <w:sz w:val="32"/>
          <w:szCs w:val="32"/>
        </w:rPr>
        <w:t xml:space="preserve"> фазы программ</w:t>
      </w:r>
      <w:r w:rsidR="00ED7DF6" w:rsidRPr="00B942A5">
        <w:rPr>
          <w:b/>
          <w:bCs/>
          <w:color w:val="4F81BD" w:themeColor="accent1"/>
          <w:sz w:val="32"/>
          <w:szCs w:val="32"/>
        </w:rPr>
        <w:t>ы</w:t>
      </w:r>
      <w:r w:rsidRPr="00B942A5">
        <w:rPr>
          <w:b/>
          <w:bCs/>
          <w:color w:val="4F81BD" w:themeColor="accent1"/>
          <w:sz w:val="32"/>
          <w:szCs w:val="32"/>
        </w:rPr>
        <w:t xml:space="preserve"> </w:t>
      </w:r>
      <w:r w:rsidRPr="00B942A5">
        <w:rPr>
          <w:b/>
          <w:bCs/>
          <w:color w:val="4F81BD" w:themeColor="accent1"/>
          <w:sz w:val="32"/>
          <w:szCs w:val="32"/>
          <w:lang w:val="en-US"/>
        </w:rPr>
        <w:t>UNIFI</w:t>
      </w:r>
    </w:p>
    <w:p w14:paraId="45E96112" w14:textId="1BEAD987" w:rsidR="00ED7DF6" w:rsidRPr="00F522D0" w:rsidRDefault="005B2F92" w:rsidP="007A22B7">
      <w:pPr>
        <w:rPr>
          <w:lang w:val="en-US"/>
        </w:rPr>
      </w:pPr>
      <w:r w:rsidRPr="00F522D0">
        <w:rPr>
          <w:lang w:val="en-US"/>
        </w:rPr>
        <w:t>Danese, S.;Afif, W.;Abreu, M.;Sandborn, W.;Miao, Y.;Zhang, H.;Panaccione, R</w:t>
      </w:r>
      <w:r w:rsidR="00B942A5" w:rsidRPr="00F522D0">
        <w:rPr>
          <w:lang w:val="en-US"/>
        </w:rPr>
        <w:t>.</w:t>
      </w:r>
    </w:p>
    <w:p w14:paraId="2B4CA952" w14:textId="13C5A747" w:rsidR="00F522D0" w:rsidRPr="00F522D0" w:rsidRDefault="00F522D0" w:rsidP="00257CF8">
      <w:pPr>
        <w:ind w:firstLine="708"/>
        <w:rPr>
          <w:sz w:val="24"/>
          <w:szCs w:val="24"/>
        </w:rPr>
      </w:pPr>
      <w:r w:rsidRPr="00F522D0">
        <w:rPr>
          <w:sz w:val="24"/>
          <w:szCs w:val="24"/>
        </w:rPr>
        <w:t>523 пациента, ответивших на внутривенную индукцию У</w:t>
      </w:r>
      <w:r>
        <w:rPr>
          <w:sz w:val="24"/>
          <w:szCs w:val="24"/>
        </w:rPr>
        <w:t>С</w:t>
      </w:r>
      <w:r w:rsidRPr="00F522D0">
        <w:rPr>
          <w:sz w:val="24"/>
          <w:szCs w:val="24"/>
        </w:rPr>
        <w:t xml:space="preserve">Т, были рандомизированы для подкожной поддерживающей терапии: 175 плацебо (ПВО); 172 </w:t>
      </w:r>
      <w:r w:rsidR="00366FD8">
        <w:rPr>
          <w:sz w:val="24"/>
          <w:szCs w:val="24"/>
        </w:rPr>
        <w:t>УСТ</w:t>
      </w:r>
      <w:r w:rsidRPr="00F522D0">
        <w:rPr>
          <w:sz w:val="24"/>
          <w:szCs w:val="24"/>
        </w:rPr>
        <w:t xml:space="preserve"> 90 мг каждые 12 недель; 176 </w:t>
      </w:r>
      <w:r w:rsidR="00366FD8">
        <w:rPr>
          <w:sz w:val="24"/>
          <w:szCs w:val="24"/>
        </w:rPr>
        <w:t>УСТ</w:t>
      </w:r>
      <w:r w:rsidRPr="00F522D0">
        <w:rPr>
          <w:sz w:val="24"/>
          <w:szCs w:val="24"/>
        </w:rPr>
        <w:t xml:space="preserve"> 90 мг каждые 8 ​​недель. В общей сложности 284 пациента завершили неделю 44 и продолжили лечение в </w:t>
      </w:r>
      <w:r w:rsidRPr="00F522D0">
        <w:rPr>
          <w:sz w:val="24"/>
          <w:szCs w:val="24"/>
          <w:lang w:val="en-US"/>
        </w:rPr>
        <w:t>LTE</w:t>
      </w:r>
      <w:r w:rsidR="00F4031A">
        <w:rPr>
          <w:sz w:val="24"/>
          <w:szCs w:val="24"/>
        </w:rPr>
        <w:t xml:space="preserve">. </w:t>
      </w:r>
      <w:r w:rsidRPr="00F522D0">
        <w:rPr>
          <w:sz w:val="24"/>
          <w:szCs w:val="24"/>
        </w:rPr>
        <w:t>Начиная с 56-й недели, рандомизированные пациенты с ухудшением ЯК могли получить корректировку дозы</w:t>
      </w:r>
      <w:r w:rsidR="00A66276">
        <w:rPr>
          <w:sz w:val="24"/>
          <w:szCs w:val="24"/>
        </w:rPr>
        <w:t>.</w:t>
      </w:r>
    </w:p>
    <w:p w14:paraId="0D99B7B5" w14:textId="666C3A51" w:rsidR="00B942A5" w:rsidRDefault="00F522D0" w:rsidP="00F522D0">
      <w:pPr>
        <w:rPr>
          <w:sz w:val="24"/>
          <w:szCs w:val="24"/>
        </w:rPr>
      </w:pPr>
      <w:r w:rsidRPr="00F522D0">
        <w:rPr>
          <w:sz w:val="24"/>
          <w:szCs w:val="24"/>
        </w:rPr>
        <w:t>ПОЛУЧЕННЫЕ РЕЗУЛЬТАТЫ</w:t>
      </w:r>
      <w:r w:rsidR="00A66276">
        <w:rPr>
          <w:sz w:val="24"/>
          <w:szCs w:val="24"/>
        </w:rPr>
        <w:t xml:space="preserve">. </w:t>
      </w:r>
      <w:r w:rsidRPr="00F522D0">
        <w:rPr>
          <w:sz w:val="24"/>
          <w:szCs w:val="24"/>
        </w:rPr>
        <w:t>Среди 205 пациентов, которые были рандомизированы для У</w:t>
      </w:r>
      <w:r w:rsidR="00A66276">
        <w:rPr>
          <w:sz w:val="24"/>
          <w:szCs w:val="24"/>
        </w:rPr>
        <w:t>С</w:t>
      </w:r>
      <w:r w:rsidRPr="00F522D0">
        <w:rPr>
          <w:sz w:val="24"/>
          <w:szCs w:val="24"/>
        </w:rPr>
        <w:t xml:space="preserve">Т на исходном уровне и продолжали лечение в </w:t>
      </w:r>
      <w:r w:rsidRPr="00F522D0">
        <w:rPr>
          <w:sz w:val="24"/>
          <w:szCs w:val="24"/>
          <w:lang w:val="en-US"/>
        </w:rPr>
        <w:t>LTE</w:t>
      </w:r>
      <w:r w:rsidRPr="00F522D0">
        <w:rPr>
          <w:sz w:val="24"/>
          <w:szCs w:val="24"/>
        </w:rPr>
        <w:t xml:space="preserve">, у которых либо были данные по шкале Мейо (включая эндоскопию) на 200 неделе, либо у которых была неудача лечения, 58,0% находились в клинической ремиссии, 80,0% </w:t>
      </w:r>
      <w:r w:rsidR="002369ED">
        <w:rPr>
          <w:sz w:val="24"/>
          <w:szCs w:val="24"/>
        </w:rPr>
        <w:t>имели</w:t>
      </w:r>
      <w:r w:rsidRPr="00F522D0">
        <w:rPr>
          <w:sz w:val="24"/>
          <w:szCs w:val="24"/>
        </w:rPr>
        <w:t xml:space="preserve"> в клиническ</w:t>
      </w:r>
      <w:r w:rsidR="002369ED">
        <w:rPr>
          <w:sz w:val="24"/>
          <w:szCs w:val="24"/>
        </w:rPr>
        <w:t>ий</w:t>
      </w:r>
      <w:r w:rsidRPr="00F522D0">
        <w:rPr>
          <w:sz w:val="24"/>
          <w:szCs w:val="24"/>
        </w:rPr>
        <w:t xml:space="preserve"> ответ, 79,5% </w:t>
      </w:r>
      <w:r w:rsidR="00797D18">
        <w:rPr>
          <w:sz w:val="24"/>
          <w:szCs w:val="24"/>
        </w:rPr>
        <w:t xml:space="preserve">имели </w:t>
      </w:r>
      <w:r w:rsidRPr="00F522D0">
        <w:rPr>
          <w:sz w:val="24"/>
          <w:szCs w:val="24"/>
        </w:rPr>
        <w:t xml:space="preserve">ответ по модифицированной шкале Мейо и 67,3% показали эндоскопическое улучшение. </w:t>
      </w:r>
    </w:p>
    <w:p w14:paraId="65D00722" w14:textId="6B880E53" w:rsidR="004B5CFC" w:rsidRDefault="004B5CFC" w:rsidP="004B5CFC">
      <w:pPr>
        <w:rPr>
          <w:sz w:val="24"/>
          <w:szCs w:val="24"/>
        </w:rPr>
      </w:pPr>
      <w:r w:rsidRPr="004B5CFC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. </w:t>
      </w:r>
      <w:r w:rsidRPr="004B5CFC">
        <w:rPr>
          <w:sz w:val="24"/>
          <w:szCs w:val="24"/>
        </w:rPr>
        <w:t>Среди пациентов с умеренным или тяжелым ЯК, которые продолжали лечение У</w:t>
      </w:r>
      <w:r w:rsidR="00207910">
        <w:rPr>
          <w:sz w:val="24"/>
          <w:szCs w:val="24"/>
        </w:rPr>
        <w:t>С</w:t>
      </w:r>
      <w:r w:rsidRPr="004B5CFC">
        <w:rPr>
          <w:sz w:val="24"/>
          <w:szCs w:val="24"/>
        </w:rPr>
        <w:t xml:space="preserve">Т, примерно 2/3 или более находились в клинической ремиссии, </w:t>
      </w:r>
      <w:r w:rsidR="00712F06">
        <w:rPr>
          <w:sz w:val="24"/>
          <w:szCs w:val="24"/>
        </w:rPr>
        <w:t xml:space="preserve">имели </w:t>
      </w:r>
      <w:r w:rsidRPr="004B5CFC">
        <w:rPr>
          <w:sz w:val="24"/>
          <w:szCs w:val="24"/>
        </w:rPr>
        <w:t>клиническ</w:t>
      </w:r>
      <w:r w:rsidR="00712F06">
        <w:rPr>
          <w:sz w:val="24"/>
          <w:szCs w:val="24"/>
        </w:rPr>
        <w:t>ий</w:t>
      </w:r>
      <w:r w:rsidRPr="004B5CFC">
        <w:rPr>
          <w:sz w:val="24"/>
          <w:szCs w:val="24"/>
        </w:rPr>
        <w:t xml:space="preserve"> ответ и/или продемонстрировали эндоскопическое улучшение через 4 года.</w:t>
      </w:r>
    </w:p>
    <w:p w14:paraId="655EB803" w14:textId="572ACF62" w:rsidR="002E5F3A" w:rsidRDefault="002E5F3A" w:rsidP="00F522D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943FDBC" wp14:editId="51B4E42F">
            <wp:extent cx="4705350" cy="25190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15" cy="252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278D0" w14:textId="77777777" w:rsidR="00712F06" w:rsidRDefault="00712F06" w:rsidP="00F522D0">
      <w:pPr>
        <w:rPr>
          <w:sz w:val="24"/>
          <w:szCs w:val="24"/>
        </w:rPr>
      </w:pPr>
    </w:p>
    <w:p w14:paraId="6168229A" w14:textId="1731A572" w:rsidR="00712F06" w:rsidRPr="00B23F66" w:rsidRDefault="00D3440F" w:rsidP="00F522D0">
      <w:pPr>
        <w:rPr>
          <w:b/>
          <w:bCs/>
          <w:color w:val="4F81BD" w:themeColor="accent1"/>
          <w:sz w:val="32"/>
          <w:szCs w:val="32"/>
        </w:rPr>
      </w:pPr>
      <w:r w:rsidRPr="00B23F66">
        <w:rPr>
          <w:b/>
          <w:bCs/>
          <w:color w:val="4F81BD" w:themeColor="accent1"/>
          <w:sz w:val="32"/>
          <w:szCs w:val="32"/>
        </w:rPr>
        <w:lastRenderedPageBreak/>
        <w:t>OP16 Эндоскопические и клинические результаты применения упадацитиниба у пациентов с активной болезнью Крона в зависимости от количества и типа предшествующих биологических препаратов</w:t>
      </w:r>
    </w:p>
    <w:p w14:paraId="7975829D" w14:textId="217DB093" w:rsidR="00D3440F" w:rsidRPr="00440E46" w:rsidRDefault="00737F37" w:rsidP="00F522D0">
      <w:pPr>
        <w:rPr>
          <w:lang w:val="en-US"/>
        </w:rPr>
      </w:pPr>
      <w:r w:rsidRPr="004F7380">
        <w:rPr>
          <w:lang w:val="en-US"/>
        </w:rPr>
        <w:t>Peyrin</w:t>
      </w:r>
      <w:r w:rsidRPr="00440E46">
        <w:rPr>
          <w:lang w:val="en-US"/>
        </w:rPr>
        <w:t>-</w:t>
      </w:r>
      <w:r w:rsidRPr="004F7380">
        <w:rPr>
          <w:lang w:val="en-US"/>
        </w:rPr>
        <w:t>Biroulet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L</w:t>
      </w:r>
      <w:r w:rsidRPr="00440E46">
        <w:rPr>
          <w:lang w:val="en-US"/>
        </w:rPr>
        <w:t xml:space="preserve">.; </w:t>
      </w:r>
      <w:r w:rsidRPr="004F7380">
        <w:rPr>
          <w:lang w:val="en-US"/>
        </w:rPr>
        <w:t>Parkes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G</w:t>
      </w:r>
      <w:r w:rsidRPr="00440E46">
        <w:rPr>
          <w:lang w:val="en-US"/>
        </w:rPr>
        <w:t>.;</w:t>
      </w:r>
      <w:r w:rsidR="00D311F0" w:rsidRPr="00440E46">
        <w:rPr>
          <w:lang w:val="en-US"/>
        </w:rPr>
        <w:t xml:space="preserve"> </w:t>
      </w:r>
      <w:r w:rsidRPr="004F7380">
        <w:rPr>
          <w:lang w:val="en-US"/>
        </w:rPr>
        <w:t>Rodr</w:t>
      </w:r>
      <w:r w:rsidRPr="00440E46">
        <w:rPr>
          <w:lang w:val="en-US"/>
        </w:rPr>
        <w:t>í</w:t>
      </w:r>
      <w:r w:rsidRPr="004F7380">
        <w:rPr>
          <w:lang w:val="en-US"/>
        </w:rPr>
        <w:t>guez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C</w:t>
      </w:r>
      <w:r w:rsidRPr="00440E46">
        <w:rPr>
          <w:lang w:val="en-US"/>
        </w:rPr>
        <w:t>.;</w:t>
      </w:r>
      <w:r w:rsidR="00D311F0" w:rsidRPr="00440E46">
        <w:rPr>
          <w:lang w:val="en-US"/>
        </w:rPr>
        <w:t xml:space="preserve"> </w:t>
      </w:r>
      <w:r w:rsidRPr="004F7380">
        <w:rPr>
          <w:lang w:val="en-US"/>
        </w:rPr>
        <w:t>Siffledeen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J</w:t>
      </w:r>
      <w:r w:rsidRPr="00440E46">
        <w:rPr>
          <w:lang w:val="en-US"/>
        </w:rPr>
        <w:t>.;</w:t>
      </w:r>
      <w:r w:rsidR="00D311F0" w:rsidRPr="00440E46">
        <w:rPr>
          <w:lang w:val="en-US"/>
        </w:rPr>
        <w:t xml:space="preserve"> </w:t>
      </w:r>
      <w:r w:rsidRPr="004F7380">
        <w:rPr>
          <w:lang w:val="en-US"/>
        </w:rPr>
        <w:t>Wright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J</w:t>
      </w:r>
      <w:r w:rsidRPr="00440E46">
        <w:rPr>
          <w:lang w:val="en-US"/>
        </w:rPr>
        <w:t>.;</w:t>
      </w:r>
      <w:r w:rsidR="00D311F0" w:rsidRPr="00440E46">
        <w:rPr>
          <w:lang w:val="en-US"/>
        </w:rPr>
        <w:t xml:space="preserve"> </w:t>
      </w:r>
      <w:r w:rsidRPr="004F7380">
        <w:rPr>
          <w:lang w:val="en-US"/>
        </w:rPr>
        <w:t>Broide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E</w:t>
      </w:r>
      <w:r w:rsidRPr="00440E46">
        <w:rPr>
          <w:lang w:val="en-US"/>
        </w:rPr>
        <w:t>.;</w:t>
      </w:r>
      <w:r w:rsidR="00D311F0" w:rsidRPr="00440E46">
        <w:rPr>
          <w:lang w:val="en-US"/>
        </w:rPr>
        <w:t xml:space="preserve"> </w:t>
      </w:r>
      <w:r w:rsidRPr="004F7380">
        <w:rPr>
          <w:lang w:val="en-US"/>
        </w:rPr>
        <w:t>Ford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S</w:t>
      </w:r>
      <w:r w:rsidRPr="00440E46">
        <w:rPr>
          <w:lang w:val="en-US"/>
        </w:rPr>
        <w:t>.;</w:t>
      </w:r>
      <w:r w:rsidR="00D311F0" w:rsidRPr="00440E46">
        <w:rPr>
          <w:lang w:val="en-US"/>
        </w:rPr>
        <w:t xml:space="preserve"> </w:t>
      </w:r>
      <w:r w:rsidRPr="004F7380">
        <w:rPr>
          <w:lang w:val="en-US"/>
        </w:rPr>
        <w:t>Lacerda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A</w:t>
      </w:r>
      <w:r w:rsidRPr="00440E46">
        <w:rPr>
          <w:lang w:val="en-US"/>
        </w:rPr>
        <w:t>.</w:t>
      </w:r>
      <w:r w:rsidRPr="004F7380">
        <w:rPr>
          <w:lang w:val="en-US"/>
        </w:rPr>
        <w:t>P</w:t>
      </w:r>
      <w:r w:rsidRPr="00440E46">
        <w:rPr>
          <w:lang w:val="en-US"/>
        </w:rPr>
        <w:t>.;</w:t>
      </w:r>
      <w:r w:rsidR="00B23F66" w:rsidRPr="00440E46">
        <w:rPr>
          <w:lang w:val="en-US"/>
        </w:rPr>
        <w:t xml:space="preserve"> </w:t>
      </w:r>
      <w:r w:rsidRPr="004F7380">
        <w:rPr>
          <w:lang w:val="en-US"/>
        </w:rPr>
        <w:t>Oomen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J</w:t>
      </w:r>
      <w:r w:rsidRPr="00440E46">
        <w:rPr>
          <w:lang w:val="en-US"/>
        </w:rPr>
        <w:t>.;</w:t>
      </w:r>
      <w:r w:rsidR="00B23F66" w:rsidRPr="00440E46">
        <w:rPr>
          <w:lang w:val="en-US"/>
        </w:rPr>
        <w:t xml:space="preserve"> </w:t>
      </w:r>
      <w:r w:rsidRPr="004F7380">
        <w:rPr>
          <w:lang w:val="en-US"/>
        </w:rPr>
        <w:t>Garrison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A</w:t>
      </w:r>
      <w:r w:rsidRPr="00440E46">
        <w:rPr>
          <w:lang w:val="en-US"/>
        </w:rPr>
        <w:t>.;</w:t>
      </w:r>
      <w:r w:rsidR="00B23F66" w:rsidRPr="00440E46">
        <w:rPr>
          <w:lang w:val="en-US"/>
        </w:rPr>
        <w:t xml:space="preserve"> </w:t>
      </w:r>
      <w:r w:rsidRPr="004F7380">
        <w:rPr>
          <w:lang w:val="en-US"/>
        </w:rPr>
        <w:t>Berg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S</w:t>
      </w:r>
      <w:r w:rsidRPr="00440E46">
        <w:rPr>
          <w:lang w:val="en-US"/>
        </w:rPr>
        <w:t>.;</w:t>
      </w:r>
      <w:r w:rsidR="00B23F66" w:rsidRPr="00440E46">
        <w:rPr>
          <w:lang w:val="en-US"/>
        </w:rPr>
        <w:t xml:space="preserve"> </w:t>
      </w:r>
      <w:r w:rsidRPr="004F7380">
        <w:rPr>
          <w:lang w:val="en-US"/>
        </w:rPr>
        <w:t>Rubin</w:t>
      </w:r>
      <w:r w:rsidRPr="00440E46">
        <w:rPr>
          <w:lang w:val="en-US"/>
        </w:rPr>
        <w:t xml:space="preserve">, </w:t>
      </w:r>
      <w:r w:rsidRPr="004F7380">
        <w:rPr>
          <w:lang w:val="en-US"/>
        </w:rPr>
        <w:t>D</w:t>
      </w:r>
      <w:r w:rsidRPr="00440E46">
        <w:rPr>
          <w:lang w:val="en-US"/>
        </w:rPr>
        <w:t>.</w:t>
      </w:r>
      <w:r w:rsidRPr="004F7380">
        <w:rPr>
          <w:lang w:val="en-US"/>
        </w:rPr>
        <w:t>T</w:t>
      </w:r>
      <w:r w:rsidRPr="00440E46">
        <w:rPr>
          <w:lang w:val="en-US"/>
        </w:rPr>
        <w:t>.</w:t>
      </w:r>
    </w:p>
    <w:p w14:paraId="43393606" w14:textId="7B28E9CA" w:rsidR="004F7380" w:rsidRPr="004F7380" w:rsidRDefault="004F7380" w:rsidP="004F7380">
      <w:pPr>
        <w:ind w:firstLine="708"/>
        <w:rPr>
          <w:sz w:val="24"/>
          <w:szCs w:val="24"/>
        </w:rPr>
      </w:pPr>
      <w:r w:rsidRPr="004F7380">
        <w:rPr>
          <w:sz w:val="24"/>
          <w:szCs w:val="24"/>
        </w:rPr>
        <w:t>В 2</w:t>
      </w:r>
      <w:r>
        <w:rPr>
          <w:sz w:val="24"/>
          <w:szCs w:val="24"/>
        </w:rPr>
        <w:t>-х</w:t>
      </w:r>
      <w:r w:rsidRPr="004F7380">
        <w:rPr>
          <w:sz w:val="24"/>
          <w:szCs w:val="24"/>
        </w:rPr>
        <w:t xml:space="preserve"> индукционных исследованиях, </w:t>
      </w:r>
      <w:r w:rsidRPr="004F7380">
        <w:rPr>
          <w:sz w:val="24"/>
          <w:szCs w:val="24"/>
          <w:lang w:val="en-US"/>
        </w:rPr>
        <w:t>U</w:t>
      </w:r>
      <w:r w:rsidRPr="004F7380">
        <w:rPr>
          <w:sz w:val="24"/>
          <w:szCs w:val="24"/>
        </w:rPr>
        <w:t>-</w:t>
      </w:r>
      <w:r w:rsidRPr="004F7380">
        <w:rPr>
          <w:sz w:val="24"/>
          <w:szCs w:val="24"/>
          <w:lang w:val="en-US"/>
        </w:rPr>
        <w:t>EXCEL</w:t>
      </w:r>
      <w:r w:rsidRPr="004F7380">
        <w:rPr>
          <w:sz w:val="24"/>
          <w:szCs w:val="24"/>
        </w:rPr>
        <w:t xml:space="preserve"> (</w:t>
      </w:r>
      <w:r w:rsidRPr="004F7380">
        <w:rPr>
          <w:sz w:val="24"/>
          <w:szCs w:val="24"/>
          <w:lang w:val="en-US"/>
        </w:rPr>
        <w:t>NCT</w:t>
      </w:r>
      <w:r w:rsidRPr="004F7380">
        <w:rPr>
          <w:sz w:val="24"/>
          <w:szCs w:val="24"/>
        </w:rPr>
        <w:t xml:space="preserve">03345849) и </w:t>
      </w:r>
      <w:r w:rsidRPr="004F7380">
        <w:rPr>
          <w:sz w:val="24"/>
          <w:szCs w:val="24"/>
          <w:lang w:val="en-US"/>
        </w:rPr>
        <w:t>U</w:t>
      </w:r>
      <w:r w:rsidRPr="004F7380">
        <w:rPr>
          <w:sz w:val="24"/>
          <w:szCs w:val="24"/>
        </w:rPr>
        <w:t>-</w:t>
      </w:r>
      <w:r w:rsidRPr="004F7380">
        <w:rPr>
          <w:sz w:val="24"/>
          <w:szCs w:val="24"/>
          <w:lang w:val="en-US"/>
        </w:rPr>
        <w:t>EXCEED</w:t>
      </w:r>
      <w:r w:rsidRPr="004F7380">
        <w:rPr>
          <w:sz w:val="24"/>
          <w:szCs w:val="24"/>
        </w:rPr>
        <w:t xml:space="preserve"> (</w:t>
      </w:r>
      <w:r w:rsidRPr="004F7380">
        <w:rPr>
          <w:sz w:val="24"/>
          <w:szCs w:val="24"/>
          <w:lang w:val="en-US"/>
        </w:rPr>
        <w:t>NCT</w:t>
      </w:r>
      <w:r w:rsidRPr="004F7380">
        <w:rPr>
          <w:sz w:val="24"/>
          <w:szCs w:val="24"/>
        </w:rPr>
        <w:t>03345836), пациенты с БК средней и тяжелой степени получали пероральную терапию УПА в дозе 45 мг один раз в день или плацебо (</w:t>
      </w:r>
      <w:r w:rsidR="0069612D">
        <w:rPr>
          <w:sz w:val="24"/>
          <w:szCs w:val="24"/>
        </w:rPr>
        <w:t>ПБ</w:t>
      </w:r>
      <w:r w:rsidRPr="004F7380">
        <w:rPr>
          <w:sz w:val="24"/>
          <w:szCs w:val="24"/>
          <w:lang w:val="en-US"/>
        </w:rPr>
        <w:t>O</w:t>
      </w:r>
      <w:r w:rsidRPr="004F7380">
        <w:rPr>
          <w:sz w:val="24"/>
          <w:szCs w:val="24"/>
        </w:rPr>
        <w:t xml:space="preserve">) в течение 12 недель. Пациенты, достигшие клинического ответа на индукцию УПА, были повторно рандомизированы в поддерживающем исследовании </w:t>
      </w:r>
      <w:r w:rsidRPr="004F7380">
        <w:rPr>
          <w:sz w:val="24"/>
          <w:szCs w:val="24"/>
          <w:lang w:val="en-US"/>
        </w:rPr>
        <w:t>U</w:t>
      </w:r>
      <w:r w:rsidRPr="004F7380">
        <w:rPr>
          <w:sz w:val="24"/>
          <w:szCs w:val="24"/>
        </w:rPr>
        <w:t>-</w:t>
      </w:r>
      <w:r w:rsidRPr="004F7380">
        <w:rPr>
          <w:sz w:val="24"/>
          <w:szCs w:val="24"/>
          <w:lang w:val="en-US"/>
        </w:rPr>
        <w:t>ENDURE</w:t>
      </w:r>
      <w:r w:rsidRPr="004F7380">
        <w:rPr>
          <w:sz w:val="24"/>
          <w:szCs w:val="24"/>
        </w:rPr>
        <w:t xml:space="preserve"> (</w:t>
      </w:r>
      <w:r w:rsidRPr="004F7380">
        <w:rPr>
          <w:sz w:val="24"/>
          <w:szCs w:val="24"/>
          <w:lang w:val="en-US"/>
        </w:rPr>
        <w:t>NCT</w:t>
      </w:r>
      <w:r w:rsidRPr="004F7380">
        <w:rPr>
          <w:sz w:val="24"/>
          <w:szCs w:val="24"/>
        </w:rPr>
        <w:t xml:space="preserve">03345823) для получения УПА 15 мг один раз в день, УПА 30 мг один раз в день или ПБО в течение 52 недель. В этом анализе оценивались клинические, эндоскопические </w:t>
      </w:r>
      <w:r w:rsidR="004A2B1F" w:rsidRPr="004F7380">
        <w:rPr>
          <w:sz w:val="24"/>
          <w:szCs w:val="24"/>
        </w:rPr>
        <w:t xml:space="preserve">исходы </w:t>
      </w:r>
      <w:r w:rsidRPr="004F7380">
        <w:rPr>
          <w:sz w:val="24"/>
          <w:szCs w:val="24"/>
        </w:rPr>
        <w:t>и безопасн</w:t>
      </w:r>
      <w:r w:rsidR="004A2B1F">
        <w:rPr>
          <w:sz w:val="24"/>
          <w:szCs w:val="24"/>
        </w:rPr>
        <w:t>ость</w:t>
      </w:r>
      <w:r w:rsidRPr="004F7380">
        <w:rPr>
          <w:sz w:val="24"/>
          <w:szCs w:val="24"/>
        </w:rPr>
        <w:t xml:space="preserve"> у пациентов с </w:t>
      </w:r>
      <w:r w:rsidR="005E0E31">
        <w:rPr>
          <w:sz w:val="24"/>
          <w:szCs w:val="24"/>
        </w:rPr>
        <w:t xml:space="preserve">предшествующей </w:t>
      </w:r>
      <w:r w:rsidRPr="004F7380">
        <w:rPr>
          <w:sz w:val="24"/>
          <w:szCs w:val="24"/>
        </w:rPr>
        <w:t>биологической терапи</w:t>
      </w:r>
      <w:r w:rsidR="005E0E31">
        <w:rPr>
          <w:sz w:val="24"/>
          <w:szCs w:val="24"/>
        </w:rPr>
        <w:t>ей</w:t>
      </w:r>
      <w:r w:rsidRPr="004F7380">
        <w:rPr>
          <w:sz w:val="24"/>
          <w:szCs w:val="24"/>
        </w:rPr>
        <w:t xml:space="preserve"> по количеству и типу неэффективных </w:t>
      </w:r>
      <w:r w:rsidR="002A1811">
        <w:rPr>
          <w:sz w:val="24"/>
          <w:szCs w:val="24"/>
        </w:rPr>
        <w:t>ГИБП</w:t>
      </w:r>
      <w:r w:rsidRPr="004F7380">
        <w:rPr>
          <w:sz w:val="24"/>
          <w:szCs w:val="24"/>
        </w:rPr>
        <w:t xml:space="preserve">. Данные исследований </w:t>
      </w:r>
      <w:r w:rsidRPr="004F7380">
        <w:rPr>
          <w:sz w:val="24"/>
          <w:szCs w:val="24"/>
          <w:lang w:val="en-US"/>
        </w:rPr>
        <w:t>U</w:t>
      </w:r>
      <w:r w:rsidRPr="004F7380">
        <w:rPr>
          <w:sz w:val="24"/>
          <w:szCs w:val="24"/>
        </w:rPr>
        <w:t>-</w:t>
      </w:r>
      <w:r w:rsidRPr="004F7380">
        <w:rPr>
          <w:sz w:val="24"/>
          <w:szCs w:val="24"/>
          <w:lang w:val="en-US"/>
        </w:rPr>
        <w:t>EXCEL</w:t>
      </w:r>
      <w:r w:rsidRPr="004F7380">
        <w:rPr>
          <w:sz w:val="24"/>
          <w:szCs w:val="24"/>
        </w:rPr>
        <w:t xml:space="preserve"> и </w:t>
      </w:r>
      <w:r w:rsidRPr="004F7380">
        <w:rPr>
          <w:sz w:val="24"/>
          <w:szCs w:val="24"/>
          <w:lang w:val="en-US"/>
        </w:rPr>
        <w:t>U</w:t>
      </w:r>
      <w:r w:rsidRPr="004F7380">
        <w:rPr>
          <w:sz w:val="24"/>
          <w:szCs w:val="24"/>
        </w:rPr>
        <w:t>-</w:t>
      </w:r>
      <w:r w:rsidRPr="004F7380">
        <w:rPr>
          <w:sz w:val="24"/>
          <w:szCs w:val="24"/>
          <w:lang w:val="en-US"/>
        </w:rPr>
        <w:t>EXCEED</w:t>
      </w:r>
      <w:r w:rsidRPr="004F7380">
        <w:rPr>
          <w:sz w:val="24"/>
          <w:szCs w:val="24"/>
        </w:rPr>
        <w:t xml:space="preserve"> были объединены.</w:t>
      </w:r>
    </w:p>
    <w:p w14:paraId="1280BE22" w14:textId="14B3A019" w:rsidR="001D2580" w:rsidRDefault="004F7380" w:rsidP="004F7380">
      <w:pPr>
        <w:rPr>
          <w:sz w:val="24"/>
          <w:szCs w:val="24"/>
        </w:rPr>
      </w:pPr>
      <w:r w:rsidRPr="004F7380">
        <w:rPr>
          <w:sz w:val="24"/>
          <w:szCs w:val="24"/>
        </w:rPr>
        <w:t>ПОЛУЧЕННЫЕ РЕЗУЛЬТАТЫ</w:t>
      </w:r>
      <w:r w:rsidR="00E0290E">
        <w:rPr>
          <w:sz w:val="24"/>
          <w:szCs w:val="24"/>
        </w:rPr>
        <w:t xml:space="preserve">. </w:t>
      </w:r>
      <w:r w:rsidRPr="004F7380">
        <w:rPr>
          <w:sz w:val="24"/>
          <w:szCs w:val="24"/>
        </w:rPr>
        <w:t>Исходно характеристики пациентов (</w:t>
      </w:r>
      <w:r w:rsidRPr="004F7380">
        <w:rPr>
          <w:sz w:val="24"/>
          <w:szCs w:val="24"/>
          <w:lang w:val="en-US"/>
        </w:rPr>
        <w:t>n</w:t>
      </w:r>
      <w:r w:rsidRPr="004F7380">
        <w:rPr>
          <w:sz w:val="24"/>
          <w:szCs w:val="24"/>
        </w:rPr>
        <w:t xml:space="preserve"> = 733) были сходными для УПА и ПЦБ в каждой подгруппе по количеству предшествующих </w:t>
      </w:r>
      <w:r w:rsidR="002A1811">
        <w:rPr>
          <w:sz w:val="24"/>
          <w:szCs w:val="24"/>
        </w:rPr>
        <w:t>ГИБП</w:t>
      </w:r>
      <w:r w:rsidRPr="004F7380">
        <w:rPr>
          <w:sz w:val="24"/>
          <w:szCs w:val="24"/>
        </w:rPr>
        <w:t xml:space="preserve"> (1, </w:t>
      </w:r>
      <w:r w:rsidRPr="004F7380">
        <w:rPr>
          <w:sz w:val="24"/>
          <w:szCs w:val="24"/>
          <w:lang w:val="en-US"/>
        </w:rPr>
        <w:t>n</w:t>
      </w:r>
      <w:r w:rsidRPr="004F7380">
        <w:rPr>
          <w:sz w:val="24"/>
          <w:szCs w:val="24"/>
        </w:rPr>
        <w:t xml:space="preserve"> = 279; 2, </w:t>
      </w:r>
      <w:r w:rsidRPr="004F7380">
        <w:rPr>
          <w:sz w:val="24"/>
          <w:szCs w:val="24"/>
          <w:lang w:val="en-US"/>
        </w:rPr>
        <w:t>n</w:t>
      </w:r>
      <w:r w:rsidRPr="004F7380">
        <w:rPr>
          <w:sz w:val="24"/>
          <w:szCs w:val="24"/>
        </w:rPr>
        <w:t xml:space="preserve"> = 223; &gt;2, </w:t>
      </w:r>
      <w:r w:rsidRPr="004F7380">
        <w:rPr>
          <w:sz w:val="24"/>
          <w:szCs w:val="24"/>
          <w:lang w:val="en-US"/>
        </w:rPr>
        <w:t>n</w:t>
      </w:r>
      <w:r w:rsidRPr="004F7380">
        <w:rPr>
          <w:sz w:val="24"/>
          <w:szCs w:val="24"/>
        </w:rPr>
        <w:t xml:space="preserve"> = 231); пациенты, которые ранее получали ≥ 2 </w:t>
      </w:r>
      <w:r w:rsidR="00E476B5">
        <w:rPr>
          <w:sz w:val="24"/>
          <w:szCs w:val="24"/>
        </w:rPr>
        <w:t>ГИБП</w:t>
      </w:r>
      <w:r w:rsidRPr="004F7380">
        <w:rPr>
          <w:sz w:val="24"/>
          <w:szCs w:val="24"/>
        </w:rPr>
        <w:t xml:space="preserve">, имели большую продолжительность заболевания (медиана, годы: 1, 6,2; 2, 9,4; &gt;2, 12,9) и чаще использовали стероиды (1, 27,7%; 2, 40,4%; &gt;2, 45,0%). </w:t>
      </w:r>
    </w:p>
    <w:p w14:paraId="42AE0425" w14:textId="38B099CC" w:rsidR="004F7380" w:rsidRDefault="004F7380" w:rsidP="00943AD3">
      <w:pPr>
        <w:ind w:firstLine="708"/>
        <w:rPr>
          <w:sz w:val="24"/>
          <w:szCs w:val="24"/>
        </w:rPr>
      </w:pPr>
      <w:r w:rsidRPr="004F7380">
        <w:rPr>
          <w:sz w:val="24"/>
          <w:szCs w:val="24"/>
        </w:rPr>
        <w:t>Частота ответа</w:t>
      </w:r>
      <w:r w:rsidR="005871A9">
        <w:rPr>
          <w:sz w:val="24"/>
          <w:szCs w:val="24"/>
        </w:rPr>
        <w:t xml:space="preserve"> </w:t>
      </w:r>
      <w:r w:rsidRPr="004F7380">
        <w:rPr>
          <w:sz w:val="24"/>
          <w:szCs w:val="24"/>
        </w:rPr>
        <w:t xml:space="preserve">была выше у пациентов, у которых меньшее количество </w:t>
      </w:r>
      <w:r w:rsidR="00FF6739">
        <w:rPr>
          <w:sz w:val="24"/>
          <w:szCs w:val="24"/>
        </w:rPr>
        <w:t>ГИБП</w:t>
      </w:r>
      <w:r w:rsidRPr="004F7380">
        <w:rPr>
          <w:sz w:val="24"/>
          <w:szCs w:val="24"/>
        </w:rPr>
        <w:t xml:space="preserve"> оказалось неэффективным. При анализе по типу предшествующего </w:t>
      </w:r>
      <w:r w:rsidR="00FF6739">
        <w:rPr>
          <w:sz w:val="24"/>
          <w:szCs w:val="24"/>
        </w:rPr>
        <w:t>ГИБП</w:t>
      </w:r>
      <w:r w:rsidRPr="004F7380">
        <w:rPr>
          <w:sz w:val="24"/>
          <w:szCs w:val="24"/>
        </w:rPr>
        <w:t xml:space="preserve"> (и</w:t>
      </w:r>
      <w:r w:rsidR="008B22EC">
        <w:rPr>
          <w:sz w:val="24"/>
          <w:szCs w:val="24"/>
        </w:rPr>
        <w:t>ФНО</w:t>
      </w:r>
      <w:r w:rsidRPr="004F7380">
        <w:rPr>
          <w:sz w:val="24"/>
          <w:szCs w:val="24"/>
        </w:rPr>
        <w:t>; устекинумаб; ведолизумаб или натализумаб), доля пациентов, у которых были достигнуты клинические и эндоскопические результаты, была несколько выше среди тех, кто не подвергался предварительному воздействию каждого биологического препарата. НЯ возникали с более высокой частотой у пациентов</w:t>
      </w:r>
      <w:r w:rsidR="002B5046">
        <w:rPr>
          <w:sz w:val="24"/>
          <w:szCs w:val="24"/>
        </w:rPr>
        <w:t xml:space="preserve"> </w:t>
      </w:r>
      <w:r w:rsidR="008865CF">
        <w:rPr>
          <w:sz w:val="24"/>
          <w:szCs w:val="24"/>
        </w:rPr>
        <w:t xml:space="preserve">с </w:t>
      </w:r>
      <w:r w:rsidRPr="004F7380">
        <w:rPr>
          <w:sz w:val="24"/>
          <w:szCs w:val="24"/>
        </w:rPr>
        <w:t>нескольк</w:t>
      </w:r>
      <w:r w:rsidR="008865CF">
        <w:rPr>
          <w:sz w:val="24"/>
          <w:szCs w:val="24"/>
        </w:rPr>
        <w:t>ими</w:t>
      </w:r>
      <w:r w:rsidRPr="004F7380">
        <w:rPr>
          <w:sz w:val="24"/>
          <w:szCs w:val="24"/>
        </w:rPr>
        <w:t xml:space="preserve"> </w:t>
      </w:r>
      <w:r w:rsidR="00924775">
        <w:rPr>
          <w:sz w:val="24"/>
          <w:szCs w:val="24"/>
        </w:rPr>
        <w:t>ГИБП</w:t>
      </w:r>
      <w:r w:rsidRPr="004F7380">
        <w:rPr>
          <w:sz w:val="24"/>
          <w:szCs w:val="24"/>
        </w:rPr>
        <w:t xml:space="preserve"> </w:t>
      </w:r>
      <w:r w:rsidR="008865CF">
        <w:rPr>
          <w:sz w:val="24"/>
          <w:szCs w:val="24"/>
        </w:rPr>
        <w:t xml:space="preserve">в анамнезе - </w:t>
      </w:r>
      <w:r w:rsidRPr="004F7380">
        <w:rPr>
          <w:sz w:val="24"/>
          <w:szCs w:val="24"/>
        </w:rPr>
        <w:t xml:space="preserve">как в группах лечения </w:t>
      </w:r>
      <w:r w:rsidR="00924775">
        <w:rPr>
          <w:sz w:val="24"/>
          <w:szCs w:val="24"/>
        </w:rPr>
        <w:t>ПБ</w:t>
      </w:r>
      <w:r w:rsidRPr="004F7380">
        <w:rPr>
          <w:sz w:val="24"/>
          <w:szCs w:val="24"/>
          <w:lang w:val="en-US"/>
        </w:rPr>
        <w:t>O</w:t>
      </w:r>
      <w:r w:rsidRPr="004F7380">
        <w:rPr>
          <w:sz w:val="24"/>
          <w:szCs w:val="24"/>
        </w:rPr>
        <w:t xml:space="preserve">, так и в группах лечения </w:t>
      </w:r>
      <w:r w:rsidR="00924775">
        <w:rPr>
          <w:sz w:val="24"/>
          <w:szCs w:val="24"/>
        </w:rPr>
        <w:t>УПА</w:t>
      </w:r>
      <w:r w:rsidRPr="004F7380">
        <w:rPr>
          <w:sz w:val="24"/>
          <w:szCs w:val="24"/>
        </w:rPr>
        <w:t xml:space="preserve">. НЯ, представляющие особый интерес, возникали с одинаковой частотой в подгруппах. Сообщений о немеланомном раке кожи, тяжелых сердечно-сосудистых событиях или венозных тромбоэмболических явлениях не </w:t>
      </w:r>
      <w:r w:rsidR="00943AD3">
        <w:rPr>
          <w:sz w:val="24"/>
          <w:szCs w:val="24"/>
        </w:rPr>
        <w:t>бы</w:t>
      </w:r>
      <w:r w:rsidRPr="004F7380">
        <w:rPr>
          <w:sz w:val="24"/>
          <w:szCs w:val="24"/>
        </w:rPr>
        <w:t>ло.</w:t>
      </w:r>
    </w:p>
    <w:p w14:paraId="4F65B9B4" w14:textId="5EFD7280" w:rsidR="00BD525B" w:rsidRPr="004F7380" w:rsidRDefault="00BD525B" w:rsidP="00943AD3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C2410A5" wp14:editId="4973CFA0">
            <wp:extent cx="2673350" cy="2673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B9403" w14:textId="5159D79F" w:rsidR="00897736" w:rsidRDefault="004F7380" w:rsidP="004F7380">
      <w:pPr>
        <w:rPr>
          <w:sz w:val="24"/>
          <w:szCs w:val="24"/>
        </w:rPr>
      </w:pPr>
      <w:r w:rsidRPr="004F7380">
        <w:rPr>
          <w:sz w:val="24"/>
          <w:szCs w:val="24"/>
        </w:rPr>
        <w:t>ЗАКЛЮЧЕНИЕ</w:t>
      </w:r>
      <w:r w:rsidR="0034235C">
        <w:rPr>
          <w:sz w:val="24"/>
          <w:szCs w:val="24"/>
        </w:rPr>
        <w:t xml:space="preserve">. </w:t>
      </w:r>
      <w:r w:rsidRPr="004F7380">
        <w:rPr>
          <w:sz w:val="24"/>
          <w:szCs w:val="24"/>
        </w:rPr>
        <w:t xml:space="preserve">Клинические и эндоскопические улучшения наблюдались при индукции </w:t>
      </w:r>
      <w:r w:rsidR="009D0049" w:rsidRPr="004F7380">
        <w:rPr>
          <w:sz w:val="24"/>
          <w:szCs w:val="24"/>
        </w:rPr>
        <w:t xml:space="preserve">и поддерживающей терапии </w:t>
      </w:r>
      <w:r w:rsidRPr="004F7380">
        <w:rPr>
          <w:sz w:val="24"/>
          <w:szCs w:val="24"/>
        </w:rPr>
        <w:t xml:space="preserve">УПА у пациентов с БК средней и тяжелой степени, независимо от </w:t>
      </w:r>
      <w:r w:rsidRPr="004F7380">
        <w:rPr>
          <w:sz w:val="24"/>
          <w:szCs w:val="24"/>
        </w:rPr>
        <w:lastRenderedPageBreak/>
        <w:t xml:space="preserve">количества и типа предшествующих неэффективных биологических препаратов; большая </w:t>
      </w:r>
      <w:r w:rsidR="0034235C">
        <w:rPr>
          <w:sz w:val="24"/>
          <w:szCs w:val="24"/>
        </w:rPr>
        <w:t>эффективность</w:t>
      </w:r>
      <w:r w:rsidRPr="004F7380">
        <w:rPr>
          <w:sz w:val="24"/>
          <w:szCs w:val="24"/>
        </w:rPr>
        <w:t xml:space="preserve"> и меньше НЯ наблюдались у пациентов</w:t>
      </w:r>
      <w:r w:rsidR="0034235C">
        <w:rPr>
          <w:sz w:val="24"/>
          <w:szCs w:val="24"/>
        </w:rPr>
        <w:t xml:space="preserve"> с меньшим количеством ГИБП в анамнезе</w:t>
      </w:r>
      <w:r w:rsidRPr="004F7380">
        <w:rPr>
          <w:sz w:val="24"/>
          <w:szCs w:val="24"/>
        </w:rPr>
        <w:t>.</w:t>
      </w:r>
    </w:p>
    <w:p w14:paraId="6FE8B493" w14:textId="77777777" w:rsidR="00FF4868" w:rsidRDefault="00FF4868" w:rsidP="004F7380">
      <w:pPr>
        <w:rPr>
          <w:sz w:val="24"/>
          <w:szCs w:val="24"/>
        </w:rPr>
      </w:pPr>
    </w:p>
    <w:p w14:paraId="1C567AF6" w14:textId="77777777" w:rsidR="00FF4868" w:rsidRDefault="00FF4868" w:rsidP="004F7380">
      <w:pPr>
        <w:rPr>
          <w:sz w:val="24"/>
          <w:szCs w:val="24"/>
        </w:rPr>
      </w:pPr>
    </w:p>
    <w:p w14:paraId="202E1152" w14:textId="46A59A3F" w:rsidR="00BB1099" w:rsidRPr="004C18A2" w:rsidRDefault="00BB1099" w:rsidP="004F7380">
      <w:pPr>
        <w:rPr>
          <w:b/>
          <w:bCs/>
          <w:color w:val="4F81BD" w:themeColor="accent1"/>
          <w:sz w:val="32"/>
          <w:szCs w:val="32"/>
        </w:rPr>
      </w:pPr>
      <w:r w:rsidRPr="004C18A2">
        <w:rPr>
          <w:b/>
          <w:bCs/>
          <w:color w:val="4F81BD" w:themeColor="accent1"/>
          <w:sz w:val="32"/>
          <w:szCs w:val="32"/>
        </w:rPr>
        <w:t>DOP44 Тофацитиниб в сравнении с кортикостероидами для индукции ремиссии при умеренно активном язвенном колите (ORCHID</w:t>
      </w:r>
      <w:r w:rsidR="00B065C8" w:rsidRPr="004C18A2">
        <w:rPr>
          <w:b/>
          <w:bCs/>
          <w:color w:val="4F81BD" w:themeColor="accent1"/>
          <w:sz w:val="32"/>
          <w:szCs w:val="32"/>
        </w:rPr>
        <w:t>)</w:t>
      </w:r>
    </w:p>
    <w:p w14:paraId="0008CE58" w14:textId="5F007461" w:rsidR="00BB1099" w:rsidRPr="005E1069" w:rsidRDefault="00E954E2" w:rsidP="004F7380">
      <w:pPr>
        <w:rPr>
          <w:lang w:val="en-US"/>
        </w:rPr>
      </w:pPr>
      <w:r w:rsidRPr="005E1069">
        <w:rPr>
          <w:lang w:val="en-US"/>
        </w:rPr>
        <w:t>Singh</w:t>
      </w:r>
      <w:r w:rsidR="002605C2" w:rsidRPr="005E1069">
        <w:rPr>
          <w:lang w:val="en-US"/>
        </w:rPr>
        <w:t xml:space="preserve"> </w:t>
      </w:r>
      <w:r w:rsidRPr="005E1069">
        <w:rPr>
          <w:lang w:val="en-US"/>
        </w:rPr>
        <w:t>D.M., A.;</w:t>
      </w:r>
      <w:r w:rsidR="002605C2" w:rsidRPr="005E1069">
        <w:rPr>
          <w:lang w:val="en-US"/>
        </w:rPr>
        <w:t xml:space="preserve"> </w:t>
      </w:r>
      <w:r w:rsidRPr="005E1069">
        <w:rPr>
          <w:lang w:val="en-US"/>
        </w:rPr>
        <w:t>Midha, V.;</w:t>
      </w:r>
      <w:r w:rsidR="002605C2" w:rsidRPr="005E1069">
        <w:rPr>
          <w:lang w:val="en-US"/>
        </w:rPr>
        <w:t xml:space="preserve"> </w:t>
      </w:r>
      <w:r w:rsidRPr="005E1069">
        <w:rPr>
          <w:lang w:val="en-US"/>
        </w:rPr>
        <w:t>Mahajan, R.;</w:t>
      </w:r>
      <w:r w:rsidR="002605C2" w:rsidRPr="005E1069">
        <w:rPr>
          <w:lang w:val="en-US"/>
        </w:rPr>
        <w:t xml:space="preserve"> </w:t>
      </w:r>
      <w:r w:rsidRPr="005E1069">
        <w:rPr>
          <w:lang w:val="en-US"/>
        </w:rPr>
        <w:t>Kaur, K.;</w:t>
      </w:r>
      <w:r w:rsidR="002605C2" w:rsidRPr="005E1069">
        <w:rPr>
          <w:lang w:val="en-US"/>
        </w:rPr>
        <w:t xml:space="preserve"> </w:t>
      </w:r>
      <w:r w:rsidRPr="005E1069">
        <w:rPr>
          <w:lang w:val="en-US"/>
        </w:rPr>
        <w:t>Singh, D.;</w:t>
      </w:r>
      <w:r w:rsidR="002605C2" w:rsidRPr="005E1069">
        <w:rPr>
          <w:lang w:val="en-US"/>
        </w:rPr>
        <w:t xml:space="preserve"> </w:t>
      </w:r>
      <w:r w:rsidRPr="005E1069">
        <w:rPr>
          <w:lang w:val="en-US"/>
        </w:rPr>
        <w:t>Sood, A.</w:t>
      </w:r>
    </w:p>
    <w:p w14:paraId="080B2987" w14:textId="2F1F7ABF" w:rsidR="002F1242" w:rsidRPr="002F1242" w:rsidRDefault="00B065C8" w:rsidP="00C90CEF">
      <w:pPr>
        <w:ind w:firstLine="708"/>
        <w:rPr>
          <w:sz w:val="24"/>
          <w:szCs w:val="24"/>
        </w:rPr>
      </w:pPr>
      <w:r>
        <w:rPr>
          <w:sz w:val="24"/>
          <w:szCs w:val="24"/>
        </w:rPr>
        <w:t>Р</w:t>
      </w:r>
      <w:r w:rsidR="002F1242" w:rsidRPr="002F1242">
        <w:rPr>
          <w:sz w:val="24"/>
          <w:szCs w:val="24"/>
        </w:rPr>
        <w:t xml:space="preserve">андомизированное пилотное исследование с активным контролем в параллельных группах, в котором сравнивалась эффективность и безопасность кортикостероидов и тофацитиниба в индукции ремиссии у взрослых с умеренно активным ЯК (общая оценка по шкале Мейо 6–9). Пациенты были </w:t>
      </w:r>
      <w:r w:rsidR="00B2265D">
        <w:rPr>
          <w:sz w:val="24"/>
          <w:szCs w:val="24"/>
        </w:rPr>
        <w:t>рандомизированы</w:t>
      </w:r>
      <w:r w:rsidR="002F1242" w:rsidRPr="002F1242">
        <w:rPr>
          <w:sz w:val="24"/>
          <w:szCs w:val="24"/>
        </w:rPr>
        <w:t xml:space="preserve"> для получения </w:t>
      </w:r>
      <w:r w:rsidR="00B2265D">
        <w:rPr>
          <w:sz w:val="24"/>
          <w:szCs w:val="24"/>
        </w:rPr>
        <w:t>КС</w:t>
      </w:r>
      <w:r w:rsidR="002F1242" w:rsidRPr="002F1242">
        <w:rPr>
          <w:sz w:val="24"/>
          <w:szCs w:val="24"/>
        </w:rPr>
        <w:t xml:space="preserve"> (преднизолон, начальная доза 40 мг в день с постепенным снижением дозы на 5 мг каждую неделю в течение 8 недель) или тофацитиниба (10 мг два раза в день) в течение 8 недель. Первичной конечной точкой была комбинированная ремиссия (определяемая как общ</w:t>
      </w:r>
      <w:r w:rsidR="00DA79A8">
        <w:rPr>
          <w:sz w:val="24"/>
          <w:szCs w:val="24"/>
        </w:rPr>
        <w:t>ий балл</w:t>
      </w:r>
      <w:r w:rsidR="002F1242" w:rsidRPr="002F1242">
        <w:rPr>
          <w:sz w:val="24"/>
          <w:szCs w:val="24"/>
        </w:rPr>
        <w:t xml:space="preserve"> Мейо ≤2, с эндоскопической субоценкой 0 и фекальным кальпротектином &lt;100 мкг/г) через 8 недель. Также оценивали клиническую ремиссию (определяемую как клиническая оценка Мейо ≤2) и клинический ответ (определяемый как снижение на 30% клинической оценки Мейо по сравнению с исходным уровнем или более и на 3 или более баллов, наряду с подшкалой ректального кровотечения 0 или 1 или снижением подшкалы ректального кровотечения на 1 балл или более) на 8-й неделе. Последующие оценки эффективности и безопасности проводились через 2, 4 и 8 недель.</w:t>
      </w:r>
    </w:p>
    <w:p w14:paraId="41CA2F89" w14:textId="2FBCD806" w:rsidR="002F1242" w:rsidRPr="002F1242" w:rsidRDefault="002F1242" w:rsidP="002F1242">
      <w:pPr>
        <w:rPr>
          <w:sz w:val="24"/>
          <w:szCs w:val="24"/>
        </w:rPr>
      </w:pPr>
      <w:r w:rsidRPr="002F1242">
        <w:rPr>
          <w:sz w:val="24"/>
          <w:szCs w:val="24"/>
        </w:rPr>
        <w:t>ПОЛУЧЕННЫЕ РЕЗУЛЬТАТЫ</w:t>
      </w:r>
      <w:r w:rsidR="00C90CEF">
        <w:rPr>
          <w:sz w:val="24"/>
          <w:szCs w:val="24"/>
        </w:rPr>
        <w:t xml:space="preserve">. </w:t>
      </w:r>
      <w:r w:rsidRPr="002F1242">
        <w:rPr>
          <w:sz w:val="24"/>
          <w:szCs w:val="24"/>
        </w:rPr>
        <w:t xml:space="preserve">В исследование было включено 78 пациентов (средний возраст 37,78 ± 13,94 года, 42 [53,84%] мужчины; 43 — в группу тофацитиниба и 35 — в группу кортикостероидов). На 8-й неделе значимой разницы в доле пациентов, достигших комбинированной ремиссии в двух группах лечения, не было (7 из 43, 16,28% в группе тофацитиниба по сравнению с 3 из 35, 8,57% в группе </w:t>
      </w:r>
      <w:r w:rsidR="00A14BDF">
        <w:rPr>
          <w:sz w:val="24"/>
          <w:szCs w:val="24"/>
        </w:rPr>
        <w:t>КС</w:t>
      </w:r>
      <w:r w:rsidRPr="002F1242">
        <w:rPr>
          <w:sz w:val="24"/>
          <w:szCs w:val="24"/>
        </w:rPr>
        <w:t xml:space="preserve">; </w:t>
      </w:r>
      <w:r w:rsidRPr="002F1242">
        <w:rPr>
          <w:sz w:val="24"/>
          <w:szCs w:val="24"/>
          <w:lang w:val="en-US"/>
        </w:rPr>
        <w:t>p</w:t>
      </w:r>
      <w:r w:rsidRPr="002F1242">
        <w:rPr>
          <w:sz w:val="24"/>
          <w:szCs w:val="24"/>
        </w:rPr>
        <w:t xml:space="preserve"> = 0,31). Клиническая ремиссия на 8-й неделе была достигнута у 18 из 43 (41,86%) пациентов, получавших тофацитиниб, и у 13 из 35 (37,14%) пациентов, получавших </w:t>
      </w:r>
      <w:r w:rsidR="00A14BDF">
        <w:rPr>
          <w:sz w:val="24"/>
          <w:szCs w:val="24"/>
        </w:rPr>
        <w:t>КС</w:t>
      </w:r>
      <w:r w:rsidRPr="002F1242">
        <w:rPr>
          <w:sz w:val="24"/>
          <w:szCs w:val="24"/>
        </w:rPr>
        <w:t xml:space="preserve"> (р=0,67). Клинический ответ наблюдался у 28 из 43 (65,12%) и 25 из 35 (71,42%) пациентов в группах тофацитиниба и </w:t>
      </w:r>
      <w:r w:rsidR="00A14BDF">
        <w:rPr>
          <w:sz w:val="24"/>
          <w:szCs w:val="24"/>
        </w:rPr>
        <w:t>КС</w:t>
      </w:r>
      <w:r w:rsidRPr="002F1242">
        <w:rPr>
          <w:sz w:val="24"/>
          <w:szCs w:val="24"/>
        </w:rPr>
        <w:t xml:space="preserve"> соответственно (р=0,55). Не наблюдалось различий в среднем количестве дней, необходимых для достижения симптоматической ремиссии между двумя группами (10[</w:t>
      </w:r>
      <w:r w:rsidRPr="002F1242">
        <w:rPr>
          <w:sz w:val="24"/>
          <w:szCs w:val="24"/>
          <w:lang w:val="en-US"/>
        </w:rPr>
        <w:t>IQR</w:t>
      </w:r>
      <w:r w:rsidRPr="002F1242">
        <w:rPr>
          <w:sz w:val="24"/>
          <w:szCs w:val="24"/>
        </w:rPr>
        <w:t xml:space="preserve"> 7-18,75] и 10[</w:t>
      </w:r>
      <w:r w:rsidRPr="002F1242">
        <w:rPr>
          <w:sz w:val="24"/>
          <w:szCs w:val="24"/>
          <w:lang w:val="en-US"/>
        </w:rPr>
        <w:t>IQR</w:t>
      </w:r>
      <w:r w:rsidRPr="002F1242">
        <w:rPr>
          <w:sz w:val="24"/>
          <w:szCs w:val="24"/>
        </w:rPr>
        <w:t xml:space="preserve"> 5-12,5] дней для тофацитиниба и </w:t>
      </w:r>
      <w:r w:rsidR="00D65AF3">
        <w:rPr>
          <w:sz w:val="24"/>
          <w:szCs w:val="24"/>
        </w:rPr>
        <w:t>КС</w:t>
      </w:r>
      <w:r w:rsidRPr="002F1242">
        <w:rPr>
          <w:sz w:val="24"/>
          <w:szCs w:val="24"/>
        </w:rPr>
        <w:t xml:space="preserve"> соответственно; </w:t>
      </w:r>
      <w:r w:rsidRPr="002F1242">
        <w:rPr>
          <w:sz w:val="24"/>
          <w:szCs w:val="24"/>
          <w:lang w:val="en-US"/>
        </w:rPr>
        <w:t>p</w:t>
      </w:r>
      <w:r w:rsidRPr="002F1242">
        <w:rPr>
          <w:sz w:val="24"/>
          <w:szCs w:val="24"/>
        </w:rPr>
        <w:t xml:space="preserve">=0,25). </w:t>
      </w:r>
      <w:r w:rsidR="005E1069">
        <w:rPr>
          <w:sz w:val="24"/>
          <w:szCs w:val="24"/>
        </w:rPr>
        <w:t>По о</w:t>
      </w:r>
      <w:r w:rsidRPr="002F1242">
        <w:rPr>
          <w:sz w:val="24"/>
          <w:szCs w:val="24"/>
        </w:rPr>
        <w:t>д</w:t>
      </w:r>
      <w:r w:rsidR="005E1069">
        <w:rPr>
          <w:sz w:val="24"/>
          <w:szCs w:val="24"/>
        </w:rPr>
        <w:t>ному</w:t>
      </w:r>
      <w:r w:rsidRPr="002F1242">
        <w:rPr>
          <w:sz w:val="24"/>
          <w:szCs w:val="24"/>
        </w:rPr>
        <w:t xml:space="preserve"> пациент</w:t>
      </w:r>
      <w:r w:rsidR="005E1069">
        <w:rPr>
          <w:sz w:val="24"/>
          <w:szCs w:val="24"/>
        </w:rPr>
        <w:t>у</w:t>
      </w:r>
      <w:r w:rsidRPr="002F1242">
        <w:rPr>
          <w:sz w:val="24"/>
          <w:szCs w:val="24"/>
        </w:rPr>
        <w:t xml:space="preserve"> в групп</w:t>
      </w:r>
      <w:r w:rsidR="005E1069">
        <w:rPr>
          <w:sz w:val="24"/>
          <w:szCs w:val="24"/>
        </w:rPr>
        <w:t>ах</w:t>
      </w:r>
      <w:r w:rsidRPr="002F1242">
        <w:rPr>
          <w:sz w:val="24"/>
          <w:szCs w:val="24"/>
        </w:rPr>
        <w:t xml:space="preserve"> тофацитиниба и </w:t>
      </w:r>
      <w:r w:rsidR="005E1069">
        <w:rPr>
          <w:sz w:val="24"/>
          <w:szCs w:val="24"/>
        </w:rPr>
        <w:t xml:space="preserve">КС </w:t>
      </w:r>
      <w:r w:rsidRPr="002F1242">
        <w:rPr>
          <w:sz w:val="24"/>
          <w:szCs w:val="24"/>
        </w:rPr>
        <w:t>прекратил</w:t>
      </w:r>
      <w:r w:rsidR="005E1069">
        <w:rPr>
          <w:sz w:val="24"/>
          <w:szCs w:val="24"/>
        </w:rPr>
        <w:t>и</w:t>
      </w:r>
      <w:r w:rsidRPr="002F1242">
        <w:rPr>
          <w:sz w:val="24"/>
          <w:szCs w:val="24"/>
        </w:rPr>
        <w:t xml:space="preserve"> лечение из-за развития туберкулеза легких и пустулезного акне соответственно. У</w:t>
      </w:r>
      <w:r w:rsidR="001114C9">
        <w:rPr>
          <w:sz w:val="24"/>
          <w:szCs w:val="24"/>
        </w:rPr>
        <w:t xml:space="preserve"> одного</w:t>
      </w:r>
      <w:r w:rsidRPr="002F1242">
        <w:rPr>
          <w:sz w:val="24"/>
          <w:szCs w:val="24"/>
        </w:rPr>
        <w:t xml:space="preserve"> пациента, получавшего тофацитиниб, развился опоясывающий герпес. Серьезных нежелательных явлений не наблюдалось.</w:t>
      </w:r>
    </w:p>
    <w:p w14:paraId="6F9B6FE7" w14:textId="7AB83DEF" w:rsidR="00E954E2" w:rsidRPr="001114C9" w:rsidRDefault="002F1242" w:rsidP="002F1242">
      <w:pPr>
        <w:rPr>
          <w:sz w:val="24"/>
          <w:szCs w:val="24"/>
        </w:rPr>
      </w:pPr>
      <w:r w:rsidRPr="002F1242">
        <w:rPr>
          <w:sz w:val="24"/>
          <w:szCs w:val="24"/>
        </w:rPr>
        <w:t>ЗАКЛЮЧЕНИЕ</w:t>
      </w:r>
      <w:r w:rsidR="001114C9">
        <w:rPr>
          <w:sz w:val="24"/>
          <w:szCs w:val="24"/>
        </w:rPr>
        <w:t xml:space="preserve">. </w:t>
      </w:r>
      <w:r w:rsidRPr="002F1242">
        <w:rPr>
          <w:sz w:val="24"/>
          <w:szCs w:val="24"/>
        </w:rPr>
        <w:t>У пациентов с умеренно активным язвенным колитом не</w:t>
      </w:r>
      <w:r w:rsidR="001114C9">
        <w:rPr>
          <w:sz w:val="24"/>
          <w:szCs w:val="24"/>
        </w:rPr>
        <w:t xml:space="preserve"> вывявлено</w:t>
      </w:r>
      <w:r w:rsidRPr="002F1242">
        <w:rPr>
          <w:sz w:val="24"/>
          <w:szCs w:val="24"/>
        </w:rPr>
        <w:t xml:space="preserve"> различий между эффективностью и безопасностью тофацитиниба и кортикостероидов для индукции ремиссии. Тофацитиниб можно использовать в качестве терапии первой линии для индукции ремиссии при умеренно активном ЯК. </w:t>
      </w:r>
    </w:p>
    <w:p w14:paraId="079CF446" w14:textId="77777777" w:rsidR="009D0049" w:rsidRPr="00440E46" w:rsidRDefault="009D0049" w:rsidP="004F7380">
      <w:pPr>
        <w:rPr>
          <w:sz w:val="24"/>
          <w:szCs w:val="24"/>
        </w:rPr>
      </w:pPr>
    </w:p>
    <w:p w14:paraId="07F2A9CA" w14:textId="77777777" w:rsidR="00B23F66" w:rsidRPr="00440E46" w:rsidRDefault="00B23F66" w:rsidP="00F522D0">
      <w:pPr>
        <w:rPr>
          <w:sz w:val="24"/>
          <w:szCs w:val="24"/>
        </w:rPr>
      </w:pPr>
    </w:p>
    <w:p w14:paraId="11B36C93" w14:textId="370F4DFB" w:rsidR="00B942A5" w:rsidRPr="00AB40EB" w:rsidRDefault="00A600F3" w:rsidP="007A22B7">
      <w:pPr>
        <w:rPr>
          <w:b/>
          <w:bCs/>
          <w:color w:val="4F81BD" w:themeColor="accent1"/>
          <w:sz w:val="32"/>
          <w:szCs w:val="32"/>
        </w:rPr>
      </w:pPr>
      <w:r w:rsidRPr="00AB40EB">
        <w:rPr>
          <w:b/>
          <w:bCs/>
          <w:color w:val="4F81BD" w:themeColor="accent1"/>
          <w:sz w:val="32"/>
          <w:szCs w:val="32"/>
          <w:lang w:val="en-US"/>
        </w:rPr>
        <w:lastRenderedPageBreak/>
        <w:t>DOP</w:t>
      </w:r>
      <w:r w:rsidRPr="00AB40EB">
        <w:rPr>
          <w:b/>
          <w:bCs/>
          <w:color w:val="4F81BD" w:themeColor="accent1"/>
          <w:sz w:val="32"/>
          <w:szCs w:val="32"/>
        </w:rPr>
        <w:t xml:space="preserve">43 Расширенная индукция в исследовании </w:t>
      </w:r>
      <w:r w:rsidRPr="00AB40EB">
        <w:rPr>
          <w:b/>
          <w:bCs/>
          <w:color w:val="4F81BD" w:themeColor="accent1"/>
          <w:sz w:val="32"/>
          <w:szCs w:val="32"/>
          <w:lang w:val="en-US"/>
        </w:rPr>
        <w:t>True</w:t>
      </w:r>
      <w:r w:rsidRPr="00AB40EB">
        <w:rPr>
          <w:b/>
          <w:bCs/>
          <w:color w:val="4F81BD" w:themeColor="accent1"/>
          <w:sz w:val="32"/>
          <w:szCs w:val="32"/>
        </w:rPr>
        <w:t xml:space="preserve"> </w:t>
      </w:r>
      <w:r w:rsidRPr="00AB40EB">
        <w:rPr>
          <w:b/>
          <w:bCs/>
          <w:color w:val="4F81BD" w:themeColor="accent1"/>
          <w:sz w:val="32"/>
          <w:szCs w:val="32"/>
          <w:lang w:val="en-US"/>
        </w:rPr>
        <w:t>North</w:t>
      </w:r>
      <w:r w:rsidRPr="00AB40EB">
        <w:rPr>
          <w:b/>
          <w:bCs/>
          <w:color w:val="4F81BD" w:themeColor="accent1"/>
          <w:sz w:val="32"/>
          <w:szCs w:val="32"/>
        </w:rPr>
        <w:t xml:space="preserve"> </w:t>
      </w:r>
      <w:r w:rsidRPr="00AB40EB">
        <w:rPr>
          <w:b/>
          <w:bCs/>
          <w:color w:val="4F81BD" w:themeColor="accent1"/>
          <w:sz w:val="32"/>
          <w:szCs w:val="32"/>
          <w:lang w:val="en-US"/>
        </w:rPr>
        <w:t>OLE</w:t>
      </w:r>
      <w:r w:rsidRPr="00AB40EB">
        <w:rPr>
          <w:b/>
          <w:bCs/>
          <w:color w:val="4F81BD" w:themeColor="accent1"/>
          <w:sz w:val="32"/>
          <w:szCs w:val="32"/>
        </w:rPr>
        <w:t xml:space="preserve">: эффективность озанимода у </w:t>
      </w:r>
      <w:r w:rsidR="003C6C28" w:rsidRPr="00AB40EB">
        <w:rPr>
          <w:b/>
          <w:bCs/>
          <w:color w:val="4F81BD" w:themeColor="accent1"/>
          <w:sz w:val="32"/>
          <w:szCs w:val="32"/>
        </w:rPr>
        <w:t xml:space="preserve">био-наивных </w:t>
      </w:r>
      <w:r w:rsidRPr="00AB40EB">
        <w:rPr>
          <w:b/>
          <w:bCs/>
          <w:color w:val="4F81BD" w:themeColor="accent1"/>
          <w:sz w:val="32"/>
          <w:szCs w:val="32"/>
        </w:rPr>
        <w:t xml:space="preserve">пациентов и у пациентов, ранее получавших </w:t>
      </w:r>
      <w:r w:rsidR="003C6C28" w:rsidRPr="00AB40EB">
        <w:rPr>
          <w:b/>
          <w:bCs/>
          <w:color w:val="4F81BD" w:themeColor="accent1"/>
          <w:sz w:val="32"/>
          <w:szCs w:val="32"/>
        </w:rPr>
        <w:t>ГИБП.</w:t>
      </w:r>
    </w:p>
    <w:p w14:paraId="73960B99" w14:textId="546AAE2F" w:rsidR="003C6C28" w:rsidRPr="00AB40EB" w:rsidRDefault="000452B0" w:rsidP="007A22B7">
      <w:pPr>
        <w:rPr>
          <w:lang w:val="en-US"/>
        </w:rPr>
      </w:pPr>
      <w:r w:rsidRPr="00AB40EB">
        <w:rPr>
          <w:lang w:val="en-US"/>
        </w:rPr>
        <w:t>Dignass, A.;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Regueiro, M</w:t>
      </w:r>
      <w:r w:rsidR="00D770CD" w:rsidRPr="00AB40EB">
        <w:rPr>
          <w:lang w:val="en-US"/>
        </w:rPr>
        <w:t>.</w:t>
      </w:r>
      <w:r w:rsidRPr="00AB40EB">
        <w:rPr>
          <w:lang w:val="en-US"/>
        </w:rPr>
        <w:t>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Colombel, J.F.;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Jain, A.;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Canavan, J.B.;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Wu, H.;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Lawlor, G.;</w:t>
      </w:r>
      <w:r w:rsidR="00D770CD" w:rsidRPr="00AB40EB">
        <w:rPr>
          <w:lang w:val="en-US"/>
        </w:rPr>
        <w:t xml:space="preserve"> </w:t>
      </w:r>
      <w:r w:rsidRPr="00AB40EB">
        <w:rPr>
          <w:lang w:val="en-US"/>
        </w:rPr>
        <w:t>Osterman, M.T.;</w:t>
      </w:r>
      <w:r w:rsidR="00AB40EB" w:rsidRPr="00AB40EB">
        <w:rPr>
          <w:lang w:val="en-US"/>
        </w:rPr>
        <w:t xml:space="preserve"> </w:t>
      </w:r>
      <w:r w:rsidRPr="00AB40EB">
        <w:rPr>
          <w:lang w:val="en-US"/>
        </w:rPr>
        <w:t>Vermeire, S.;</w:t>
      </w:r>
      <w:r w:rsidR="00AB40EB" w:rsidRPr="00AB40EB">
        <w:rPr>
          <w:lang w:val="en-US"/>
        </w:rPr>
        <w:t xml:space="preserve"> </w:t>
      </w:r>
      <w:r w:rsidRPr="00AB40EB">
        <w:rPr>
          <w:lang w:val="en-US"/>
        </w:rPr>
        <w:t>Rubin, D.T.</w:t>
      </w:r>
    </w:p>
    <w:p w14:paraId="3E655B20" w14:textId="77777777" w:rsidR="00A067E2" w:rsidRDefault="00AB40EB" w:rsidP="00A067E2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Пациенты, </w:t>
      </w:r>
      <w:r w:rsidR="008C7151" w:rsidRPr="008C7151">
        <w:rPr>
          <w:sz w:val="24"/>
          <w:szCs w:val="24"/>
        </w:rPr>
        <w:t xml:space="preserve">не ответившие на озанимод </w:t>
      </w:r>
      <w:r w:rsidR="00B25AC5" w:rsidRPr="008C7151">
        <w:rPr>
          <w:sz w:val="24"/>
          <w:szCs w:val="24"/>
        </w:rPr>
        <w:t>на 10-й неделе,</w:t>
      </w:r>
      <w:r w:rsidR="008C7151" w:rsidRPr="008C7151">
        <w:rPr>
          <w:sz w:val="24"/>
          <w:szCs w:val="24"/>
        </w:rPr>
        <w:t xml:space="preserve"> вошли в </w:t>
      </w:r>
      <w:r w:rsidR="00B25AC5">
        <w:rPr>
          <w:sz w:val="24"/>
          <w:szCs w:val="24"/>
        </w:rPr>
        <w:t xml:space="preserve">открытую фазу. </w:t>
      </w:r>
      <w:r w:rsidR="008C7151" w:rsidRPr="008C7151">
        <w:rPr>
          <w:sz w:val="24"/>
          <w:szCs w:val="24"/>
        </w:rPr>
        <w:t xml:space="preserve">Данные были проанализированы у пациентов с предшествующим биологическим воздействием и без него на исходном уровне. </w:t>
      </w:r>
      <w:r w:rsidR="00A067E2">
        <w:rPr>
          <w:sz w:val="24"/>
          <w:szCs w:val="24"/>
        </w:rPr>
        <w:t xml:space="preserve"> </w:t>
      </w:r>
    </w:p>
    <w:p w14:paraId="3AD5CF1D" w14:textId="77777777" w:rsidR="00293AF5" w:rsidRDefault="008C7151" w:rsidP="00A067E2">
      <w:pPr>
        <w:ind w:firstLine="708"/>
        <w:rPr>
          <w:sz w:val="24"/>
          <w:szCs w:val="24"/>
        </w:rPr>
      </w:pPr>
      <w:r w:rsidRPr="00D770CD">
        <w:rPr>
          <w:sz w:val="24"/>
          <w:szCs w:val="24"/>
        </w:rPr>
        <w:t>ПОЛУЧЕННЫЕ РЕЗУЛЬТАТЫ</w:t>
      </w:r>
      <w:r w:rsidR="00A067E2">
        <w:rPr>
          <w:sz w:val="24"/>
          <w:szCs w:val="24"/>
        </w:rPr>
        <w:t xml:space="preserve">. </w:t>
      </w:r>
      <w:r w:rsidR="001171DC">
        <w:rPr>
          <w:sz w:val="24"/>
          <w:szCs w:val="24"/>
        </w:rPr>
        <w:t xml:space="preserve">Проанализировано </w:t>
      </w:r>
      <w:r w:rsidRPr="00D770CD">
        <w:rPr>
          <w:sz w:val="24"/>
          <w:szCs w:val="24"/>
        </w:rPr>
        <w:t>220 пациентов</w:t>
      </w:r>
      <w:r w:rsidR="001171DC">
        <w:rPr>
          <w:sz w:val="24"/>
          <w:szCs w:val="24"/>
        </w:rPr>
        <w:t xml:space="preserve"> </w:t>
      </w:r>
      <w:r w:rsidRPr="00D770CD">
        <w:rPr>
          <w:sz w:val="24"/>
          <w:szCs w:val="24"/>
        </w:rPr>
        <w:t xml:space="preserve">(биологически наивные, </w:t>
      </w:r>
      <w:r w:rsidRPr="008C7151">
        <w:rPr>
          <w:sz w:val="24"/>
          <w:szCs w:val="24"/>
          <w:lang w:val="en-US"/>
        </w:rPr>
        <w:t>n</w:t>
      </w:r>
      <w:r w:rsidRPr="00D770CD">
        <w:rPr>
          <w:sz w:val="24"/>
          <w:szCs w:val="24"/>
        </w:rPr>
        <w:t xml:space="preserve"> = 122; </w:t>
      </w:r>
      <w:r w:rsidR="001171DC">
        <w:rPr>
          <w:sz w:val="24"/>
          <w:szCs w:val="24"/>
        </w:rPr>
        <w:t>после ГИБП</w:t>
      </w:r>
      <w:r w:rsidRPr="00D770CD">
        <w:rPr>
          <w:sz w:val="24"/>
          <w:szCs w:val="24"/>
        </w:rPr>
        <w:t xml:space="preserve">, </w:t>
      </w:r>
      <w:r w:rsidRPr="008C7151">
        <w:rPr>
          <w:sz w:val="24"/>
          <w:szCs w:val="24"/>
          <w:lang w:val="en-US"/>
        </w:rPr>
        <w:t>n</w:t>
      </w:r>
      <w:r w:rsidRPr="00D770CD">
        <w:rPr>
          <w:sz w:val="24"/>
          <w:szCs w:val="24"/>
        </w:rPr>
        <w:t xml:space="preserve"> = 98). Активность заболевания на исходном уровне</w:t>
      </w:r>
      <w:r w:rsidR="00293AF5">
        <w:rPr>
          <w:sz w:val="24"/>
          <w:szCs w:val="24"/>
        </w:rPr>
        <w:t xml:space="preserve"> </w:t>
      </w:r>
      <w:r w:rsidRPr="00D770CD">
        <w:rPr>
          <w:sz w:val="24"/>
          <w:szCs w:val="24"/>
        </w:rPr>
        <w:t>была одинаковой</w:t>
      </w:r>
      <w:r w:rsidR="00293AF5">
        <w:rPr>
          <w:sz w:val="24"/>
          <w:szCs w:val="24"/>
        </w:rPr>
        <w:t>.</w:t>
      </w:r>
    </w:p>
    <w:p w14:paraId="1D7DBCEE" w14:textId="0C87E972" w:rsidR="00DE0C6A" w:rsidRDefault="008C7151" w:rsidP="00A067E2">
      <w:pPr>
        <w:ind w:firstLine="708"/>
        <w:rPr>
          <w:sz w:val="24"/>
          <w:szCs w:val="24"/>
        </w:rPr>
      </w:pPr>
      <w:r w:rsidRPr="00D770CD">
        <w:rPr>
          <w:sz w:val="24"/>
          <w:szCs w:val="24"/>
        </w:rPr>
        <w:t xml:space="preserve"> Около половины пациенто</w:t>
      </w:r>
      <w:r w:rsidR="00DE0C6A">
        <w:rPr>
          <w:sz w:val="24"/>
          <w:szCs w:val="24"/>
        </w:rPr>
        <w:t xml:space="preserve">в </w:t>
      </w:r>
      <w:r w:rsidRPr="00D770CD">
        <w:rPr>
          <w:sz w:val="24"/>
          <w:szCs w:val="24"/>
        </w:rPr>
        <w:t xml:space="preserve">в обеих группах достигли симптоматического клинического ответа на </w:t>
      </w:r>
      <w:r w:rsidR="00DE0C6A">
        <w:rPr>
          <w:sz w:val="24"/>
          <w:szCs w:val="24"/>
        </w:rPr>
        <w:t>5 неделе</w:t>
      </w:r>
      <w:r w:rsidRPr="00D770CD">
        <w:rPr>
          <w:sz w:val="24"/>
          <w:szCs w:val="24"/>
        </w:rPr>
        <w:t xml:space="preserve">, при этом более высокая доля пациентов, ранее не получавших </w:t>
      </w:r>
      <w:r w:rsidR="00DE0C6A">
        <w:rPr>
          <w:sz w:val="24"/>
          <w:szCs w:val="24"/>
        </w:rPr>
        <w:t>ГИБП</w:t>
      </w:r>
      <w:r w:rsidRPr="00D770CD">
        <w:rPr>
          <w:sz w:val="24"/>
          <w:szCs w:val="24"/>
        </w:rPr>
        <w:t xml:space="preserve">, сохраняла ответ до </w:t>
      </w:r>
      <w:r w:rsidR="00DE0C6A">
        <w:rPr>
          <w:sz w:val="24"/>
          <w:szCs w:val="24"/>
        </w:rPr>
        <w:t>94 недели.</w:t>
      </w:r>
    </w:p>
    <w:p w14:paraId="0109FB7F" w14:textId="2C90B488" w:rsidR="003C79AA" w:rsidRPr="00DE0C6A" w:rsidRDefault="003C79AA" w:rsidP="00A067E2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C761E89" wp14:editId="3B1EEDAC">
            <wp:extent cx="594360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F9D5A" w14:textId="7CACA583" w:rsidR="000452B0" w:rsidRDefault="008C7151" w:rsidP="00A067E2">
      <w:pPr>
        <w:ind w:firstLine="708"/>
        <w:rPr>
          <w:sz w:val="24"/>
          <w:szCs w:val="24"/>
        </w:rPr>
      </w:pPr>
      <w:r w:rsidRPr="00D770CD">
        <w:rPr>
          <w:sz w:val="24"/>
          <w:szCs w:val="24"/>
        </w:rPr>
        <w:t xml:space="preserve">Более высокая доля </w:t>
      </w:r>
      <w:r w:rsidR="00C647E8">
        <w:rPr>
          <w:sz w:val="24"/>
          <w:szCs w:val="24"/>
        </w:rPr>
        <w:t xml:space="preserve">био-наивных </w:t>
      </w:r>
      <w:r w:rsidRPr="00D770CD">
        <w:rPr>
          <w:sz w:val="24"/>
          <w:szCs w:val="24"/>
        </w:rPr>
        <w:t>пациентов</w:t>
      </w:r>
      <w:r w:rsidR="00C26937">
        <w:rPr>
          <w:sz w:val="24"/>
          <w:szCs w:val="24"/>
        </w:rPr>
        <w:t xml:space="preserve"> </w:t>
      </w:r>
      <w:r w:rsidRPr="00D770CD">
        <w:rPr>
          <w:sz w:val="24"/>
          <w:szCs w:val="24"/>
        </w:rPr>
        <w:t>сохраняла симптоматическую клиническую ремиссию 94</w:t>
      </w:r>
      <w:r w:rsidR="007D4A2E">
        <w:rPr>
          <w:sz w:val="24"/>
          <w:szCs w:val="24"/>
        </w:rPr>
        <w:t xml:space="preserve"> недели</w:t>
      </w:r>
      <w:r w:rsidR="00C647E8">
        <w:rPr>
          <w:sz w:val="24"/>
          <w:szCs w:val="24"/>
        </w:rPr>
        <w:t xml:space="preserve">, а также </w:t>
      </w:r>
      <w:r w:rsidRPr="00D770CD">
        <w:rPr>
          <w:sz w:val="24"/>
          <w:szCs w:val="24"/>
        </w:rPr>
        <w:t>достигл</w:t>
      </w:r>
      <w:r w:rsidR="00C647E8">
        <w:rPr>
          <w:sz w:val="24"/>
          <w:szCs w:val="24"/>
        </w:rPr>
        <w:t>и</w:t>
      </w:r>
      <w:r w:rsidRPr="00D770CD">
        <w:rPr>
          <w:sz w:val="24"/>
          <w:szCs w:val="24"/>
        </w:rPr>
        <w:t xml:space="preserve"> всех клинических, эндоскопических и гистологических конечных точек на</w:t>
      </w:r>
      <w:r w:rsidR="00C647E8">
        <w:rPr>
          <w:sz w:val="24"/>
          <w:szCs w:val="24"/>
        </w:rPr>
        <w:t xml:space="preserve"> </w:t>
      </w:r>
      <w:r w:rsidRPr="00D770CD">
        <w:rPr>
          <w:sz w:val="24"/>
          <w:szCs w:val="24"/>
        </w:rPr>
        <w:t xml:space="preserve">46 </w:t>
      </w:r>
      <w:r w:rsidR="00C647E8">
        <w:rPr>
          <w:sz w:val="24"/>
          <w:szCs w:val="24"/>
        </w:rPr>
        <w:t xml:space="preserve">неделе </w:t>
      </w:r>
      <w:r w:rsidRPr="00D770CD">
        <w:rPr>
          <w:sz w:val="24"/>
          <w:szCs w:val="24"/>
        </w:rPr>
        <w:t>по сравнению с пациентами, ранее проходивши</w:t>
      </w:r>
      <w:r w:rsidR="00C26937">
        <w:rPr>
          <w:sz w:val="24"/>
          <w:szCs w:val="24"/>
        </w:rPr>
        <w:t>ми ГИБТ.</w:t>
      </w:r>
    </w:p>
    <w:p w14:paraId="1C2248D0" w14:textId="5255D1BA" w:rsidR="00892B8A" w:rsidRDefault="00892B8A" w:rsidP="00892B8A">
      <w:pPr>
        <w:ind w:firstLine="708"/>
        <w:rPr>
          <w:sz w:val="24"/>
          <w:szCs w:val="24"/>
        </w:rPr>
      </w:pPr>
      <w:r w:rsidRPr="00892B8A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. </w:t>
      </w:r>
      <w:r w:rsidRPr="00892B8A">
        <w:rPr>
          <w:sz w:val="24"/>
          <w:szCs w:val="24"/>
        </w:rPr>
        <w:t>Как биологически наивные, так и опытные клинические пациенты, не ответившие на озанимод в конце индукции, продемонстрировали ответ на расширенную индукцию озанимодом. Отсроченный ответ сохранялся до 2 лет при непрерывном лечении озанимодом в обеих группах, при этом более высокая доля была достигнута у пациентов, ранее не получавших лечения.</w:t>
      </w:r>
    </w:p>
    <w:p w14:paraId="6C278E9A" w14:textId="77777777" w:rsidR="00D954DB" w:rsidRDefault="00D954DB" w:rsidP="00892B8A">
      <w:pPr>
        <w:ind w:firstLine="708"/>
        <w:rPr>
          <w:sz w:val="24"/>
          <w:szCs w:val="24"/>
        </w:rPr>
      </w:pPr>
    </w:p>
    <w:p w14:paraId="79B426C9" w14:textId="77777777" w:rsidR="004C2F57" w:rsidRDefault="004C2F57" w:rsidP="00892B8A">
      <w:pPr>
        <w:ind w:firstLine="708"/>
        <w:rPr>
          <w:sz w:val="24"/>
          <w:szCs w:val="24"/>
        </w:rPr>
      </w:pPr>
    </w:p>
    <w:p w14:paraId="454A3E86" w14:textId="77777777" w:rsidR="004C2F57" w:rsidRDefault="004C2F57" w:rsidP="00892B8A">
      <w:pPr>
        <w:ind w:firstLine="708"/>
        <w:rPr>
          <w:sz w:val="24"/>
          <w:szCs w:val="24"/>
        </w:rPr>
      </w:pPr>
    </w:p>
    <w:p w14:paraId="54CEE938" w14:textId="34FB61F1" w:rsidR="004C2F57" w:rsidRPr="00A606AF" w:rsidRDefault="00804CB3" w:rsidP="00892B8A">
      <w:pPr>
        <w:ind w:firstLine="708"/>
        <w:rPr>
          <w:b/>
          <w:bCs/>
          <w:color w:val="4F81BD" w:themeColor="accent1"/>
          <w:sz w:val="32"/>
          <w:szCs w:val="32"/>
        </w:rPr>
      </w:pPr>
      <w:r w:rsidRPr="00A606AF">
        <w:rPr>
          <w:b/>
          <w:bCs/>
          <w:color w:val="4F81BD" w:themeColor="accent1"/>
          <w:sz w:val="32"/>
          <w:szCs w:val="32"/>
        </w:rPr>
        <w:lastRenderedPageBreak/>
        <w:t>DOP39 Эндоскопические, гистологические и комбинированные исходы при повторном назначении озанимода после временного прекращения: 2-летний промежуточный анализ открытого расширенного исследования True North</w:t>
      </w:r>
    </w:p>
    <w:p w14:paraId="4B6141FB" w14:textId="6C8D84B2" w:rsidR="00804CB3" w:rsidRDefault="000E6F58" w:rsidP="00892B8A">
      <w:pPr>
        <w:ind w:firstLine="708"/>
        <w:rPr>
          <w:sz w:val="24"/>
          <w:szCs w:val="24"/>
          <w:lang w:val="en-US"/>
        </w:rPr>
      </w:pPr>
      <w:r w:rsidRPr="000E6F58">
        <w:rPr>
          <w:sz w:val="24"/>
          <w:szCs w:val="24"/>
          <w:lang w:val="en-US"/>
        </w:rPr>
        <w:t>Vermeire, S.;</w:t>
      </w:r>
      <w:r w:rsidR="00A606AF" w:rsidRPr="00A606AF">
        <w:rPr>
          <w:sz w:val="24"/>
          <w:szCs w:val="24"/>
          <w:lang w:val="en-US"/>
        </w:rPr>
        <w:t xml:space="preserve"> </w:t>
      </w:r>
      <w:r w:rsidRPr="000E6F58">
        <w:rPr>
          <w:sz w:val="24"/>
          <w:szCs w:val="24"/>
          <w:lang w:val="en-US"/>
        </w:rPr>
        <w:t>Dignass, A.;</w:t>
      </w:r>
      <w:r w:rsidR="00BB76D9" w:rsidRPr="00BB76D9">
        <w:rPr>
          <w:sz w:val="24"/>
          <w:szCs w:val="24"/>
          <w:lang w:val="en-US"/>
        </w:rPr>
        <w:t xml:space="preserve"> </w:t>
      </w:r>
      <w:r w:rsidRPr="000E6F58">
        <w:rPr>
          <w:sz w:val="24"/>
          <w:szCs w:val="24"/>
          <w:lang w:val="en-US"/>
        </w:rPr>
        <w:t>Colombel, J.F.;</w:t>
      </w:r>
      <w:r w:rsidR="00BB76D9" w:rsidRPr="00BB76D9">
        <w:rPr>
          <w:sz w:val="24"/>
          <w:szCs w:val="24"/>
          <w:lang w:val="en-US"/>
        </w:rPr>
        <w:t xml:space="preserve"> </w:t>
      </w:r>
      <w:r w:rsidRPr="000E6F58">
        <w:rPr>
          <w:sz w:val="24"/>
          <w:szCs w:val="24"/>
          <w:lang w:val="en-US"/>
        </w:rPr>
        <w:t>Jain, A.;</w:t>
      </w:r>
      <w:r w:rsidR="00BB76D9" w:rsidRPr="00BB76D9">
        <w:rPr>
          <w:sz w:val="24"/>
          <w:szCs w:val="24"/>
          <w:lang w:val="en-US"/>
        </w:rPr>
        <w:t xml:space="preserve"> </w:t>
      </w:r>
      <w:r w:rsidRPr="000E6F58">
        <w:rPr>
          <w:sz w:val="24"/>
          <w:szCs w:val="24"/>
          <w:lang w:val="en-US"/>
        </w:rPr>
        <w:t>Canavan, J.B.;</w:t>
      </w:r>
      <w:r w:rsidR="00BB76D9" w:rsidRPr="00BB76D9">
        <w:rPr>
          <w:sz w:val="24"/>
          <w:szCs w:val="24"/>
          <w:lang w:val="en-US"/>
        </w:rPr>
        <w:t xml:space="preserve"> </w:t>
      </w:r>
      <w:r w:rsidRPr="000E6F58">
        <w:rPr>
          <w:sz w:val="24"/>
          <w:szCs w:val="24"/>
          <w:lang w:val="en-US"/>
        </w:rPr>
        <w:t>Wu, H.</w:t>
      </w:r>
    </w:p>
    <w:p w14:paraId="4F54881A" w14:textId="559D8C16" w:rsidR="004F14F6" w:rsidRPr="004F14F6" w:rsidRDefault="004F14F6" w:rsidP="004F14F6">
      <w:pPr>
        <w:ind w:firstLine="708"/>
        <w:rPr>
          <w:sz w:val="24"/>
          <w:szCs w:val="24"/>
        </w:rPr>
      </w:pPr>
      <w:r w:rsidRPr="004F14F6">
        <w:rPr>
          <w:sz w:val="24"/>
          <w:szCs w:val="24"/>
        </w:rPr>
        <w:t>Пациенты, ответившие на 10-недельную индукционную терапию озанимодом, были повторно рандомизированы в соотношении 1:1 в группу озанимода (</w:t>
      </w:r>
      <w:r w:rsidRPr="004F14F6">
        <w:rPr>
          <w:sz w:val="24"/>
          <w:szCs w:val="24"/>
          <w:lang w:val="en-US"/>
        </w:rPr>
        <w:t>n</w:t>
      </w:r>
      <w:r w:rsidRPr="004F14F6">
        <w:rPr>
          <w:sz w:val="24"/>
          <w:szCs w:val="24"/>
        </w:rPr>
        <w:t>=230) или плацебо (</w:t>
      </w:r>
      <w:r w:rsidRPr="004F14F6">
        <w:rPr>
          <w:sz w:val="24"/>
          <w:szCs w:val="24"/>
          <w:lang w:val="en-US"/>
        </w:rPr>
        <w:t>n</w:t>
      </w:r>
      <w:r w:rsidRPr="004F14F6">
        <w:rPr>
          <w:sz w:val="24"/>
          <w:szCs w:val="24"/>
        </w:rPr>
        <w:t xml:space="preserve">=227); этот промежуточный анализ </w:t>
      </w:r>
      <w:r w:rsidRPr="004F14F6">
        <w:rPr>
          <w:sz w:val="24"/>
          <w:szCs w:val="24"/>
          <w:lang w:val="en-US"/>
        </w:rPr>
        <w:t>OLE</w:t>
      </w:r>
      <w:r w:rsidRPr="004F14F6">
        <w:rPr>
          <w:sz w:val="24"/>
          <w:szCs w:val="24"/>
        </w:rPr>
        <w:t xml:space="preserve"> включал всех пациентов, у которых случился рецидив, принимавший плацебо во время </w:t>
      </w:r>
      <w:bookmarkStart w:id="2" w:name="_Hlk140832123"/>
      <w:r w:rsidR="005F36FB">
        <w:rPr>
          <w:sz w:val="24"/>
          <w:szCs w:val="24"/>
        </w:rPr>
        <w:t>поддерживающей фазе</w:t>
      </w:r>
      <w:bookmarkEnd w:id="2"/>
      <w:r w:rsidRPr="004F14F6">
        <w:rPr>
          <w:sz w:val="24"/>
          <w:szCs w:val="24"/>
        </w:rPr>
        <w:t xml:space="preserve">, и повторно начавший озанимод в </w:t>
      </w:r>
      <w:r w:rsidRPr="004F14F6">
        <w:rPr>
          <w:sz w:val="24"/>
          <w:szCs w:val="24"/>
          <w:lang w:val="en-US"/>
        </w:rPr>
        <w:t>OLE</w:t>
      </w:r>
      <w:r w:rsidRPr="004F14F6">
        <w:rPr>
          <w:sz w:val="24"/>
          <w:szCs w:val="24"/>
        </w:rPr>
        <w:t xml:space="preserve">. Конечные точки включали процент пациентов с эндоскопическим улучшением (эндоскопическая подшкала ≤1 балла), гистологической ремиссией (оценка по индексу Гебо&lt;2) и заживлением слизистой оболочки (эндоскопическая подшкала ≤1 балл и оценка по индексу Гебо &lt;2) на 46-й и 94-й неделях </w:t>
      </w:r>
      <w:r w:rsidRPr="004F14F6">
        <w:rPr>
          <w:sz w:val="24"/>
          <w:szCs w:val="24"/>
          <w:lang w:val="en-US"/>
        </w:rPr>
        <w:t>OLE</w:t>
      </w:r>
      <w:r w:rsidRPr="004F14F6">
        <w:rPr>
          <w:sz w:val="24"/>
          <w:szCs w:val="24"/>
        </w:rPr>
        <w:t xml:space="preserve">. </w:t>
      </w:r>
    </w:p>
    <w:p w14:paraId="3FDC8319" w14:textId="29FA3973" w:rsidR="000E6F58" w:rsidRDefault="004F14F6" w:rsidP="00E17884">
      <w:pPr>
        <w:rPr>
          <w:sz w:val="24"/>
          <w:szCs w:val="24"/>
        </w:rPr>
      </w:pPr>
      <w:r w:rsidRPr="004F14F6">
        <w:rPr>
          <w:sz w:val="24"/>
          <w:szCs w:val="24"/>
        </w:rPr>
        <w:t>ПОЛУЧЕННЫЕ РЕЗУЛЬТАТЫ</w:t>
      </w:r>
      <w:r w:rsidR="00E17884">
        <w:rPr>
          <w:sz w:val="24"/>
          <w:szCs w:val="24"/>
        </w:rPr>
        <w:t xml:space="preserve">. </w:t>
      </w:r>
      <w:r w:rsidRPr="004F14F6">
        <w:rPr>
          <w:sz w:val="24"/>
          <w:szCs w:val="24"/>
        </w:rPr>
        <w:t xml:space="preserve">У 34% пациентов, рандомизированных в группу плацебо, наблюдался рецидив заболевания в </w:t>
      </w:r>
      <w:r w:rsidR="00E17884" w:rsidRPr="00E17884">
        <w:rPr>
          <w:sz w:val="24"/>
          <w:szCs w:val="24"/>
        </w:rPr>
        <w:t>поддерживающей фазе</w:t>
      </w:r>
      <w:r w:rsidRPr="004F14F6">
        <w:rPr>
          <w:sz w:val="24"/>
          <w:szCs w:val="24"/>
        </w:rPr>
        <w:t xml:space="preserve">. Среднее время до рецидива составило 12,7 недели. На 46-й неделе </w:t>
      </w:r>
      <w:r w:rsidRPr="004F14F6">
        <w:rPr>
          <w:sz w:val="24"/>
          <w:szCs w:val="24"/>
          <w:lang w:val="en-US"/>
        </w:rPr>
        <w:t>OLE</w:t>
      </w:r>
      <w:r w:rsidRPr="004F14F6">
        <w:rPr>
          <w:sz w:val="24"/>
          <w:szCs w:val="24"/>
        </w:rPr>
        <w:t xml:space="preserve"> эндоскопическое улучшение, гистологическая ремиссия и заживление слизистой были достигнуты у 50%, 56% и 42% пациентов соответственно. Доли </w:t>
      </w:r>
      <w:r w:rsidR="002E3515">
        <w:rPr>
          <w:sz w:val="24"/>
          <w:szCs w:val="24"/>
        </w:rPr>
        <w:t xml:space="preserve">пациентов, достигших </w:t>
      </w:r>
      <w:r w:rsidRPr="004F14F6">
        <w:rPr>
          <w:sz w:val="24"/>
          <w:szCs w:val="24"/>
        </w:rPr>
        <w:t>эти</w:t>
      </w:r>
      <w:r w:rsidR="002E3515">
        <w:rPr>
          <w:sz w:val="24"/>
          <w:szCs w:val="24"/>
        </w:rPr>
        <w:t>х</w:t>
      </w:r>
      <w:r w:rsidRPr="004F14F6">
        <w:rPr>
          <w:sz w:val="24"/>
          <w:szCs w:val="24"/>
        </w:rPr>
        <w:t xml:space="preserve"> конечны</w:t>
      </w:r>
      <w:r w:rsidR="002E3515">
        <w:rPr>
          <w:sz w:val="24"/>
          <w:szCs w:val="24"/>
        </w:rPr>
        <w:t>х</w:t>
      </w:r>
      <w:r w:rsidRPr="004F14F6">
        <w:rPr>
          <w:sz w:val="24"/>
          <w:szCs w:val="24"/>
        </w:rPr>
        <w:t xml:space="preserve"> </w:t>
      </w:r>
      <w:r w:rsidR="002E3515" w:rsidRPr="004F14F6">
        <w:rPr>
          <w:sz w:val="24"/>
          <w:szCs w:val="24"/>
        </w:rPr>
        <w:t>точе</w:t>
      </w:r>
      <w:r w:rsidR="002E3515">
        <w:rPr>
          <w:sz w:val="24"/>
          <w:szCs w:val="24"/>
        </w:rPr>
        <w:t xml:space="preserve">к </w:t>
      </w:r>
      <w:r w:rsidRPr="004F14F6">
        <w:rPr>
          <w:sz w:val="24"/>
          <w:szCs w:val="24"/>
        </w:rPr>
        <w:t xml:space="preserve"> увеличились до 60%, 68% и 48%, соответственно, к 94-й неделе </w:t>
      </w:r>
      <w:r w:rsidRPr="004F14F6">
        <w:rPr>
          <w:sz w:val="24"/>
          <w:szCs w:val="24"/>
          <w:lang w:val="en-US"/>
        </w:rPr>
        <w:t>OLE</w:t>
      </w:r>
      <w:r w:rsidR="002E3515">
        <w:rPr>
          <w:sz w:val="24"/>
          <w:szCs w:val="24"/>
        </w:rPr>
        <w:t xml:space="preserve">. </w:t>
      </w:r>
      <w:r w:rsidRPr="004F14F6">
        <w:rPr>
          <w:sz w:val="24"/>
          <w:szCs w:val="24"/>
        </w:rPr>
        <w:t xml:space="preserve"> </w:t>
      </w:r>
    </w:p>
    <w:p w14:paraId="5A9EF1A3" w14:textId="15C3BF91" w:rsidR="00A606AF" w:rsidRPr="004F14F6" w:rsidRDefault="00A606AF" w:rsidP="006176C8">
      <w:pPr>
        <w:ind w:firstLine="708"/>
        <w:rPr>
          <w:sz w:val="24"/>
          <w:szCs w:val="24"/>
        </w:rPr>
      </w:pPr>
      <w:r w:rsidRPr="00A606AF">
        <w:rPr>
          <w:sz w:val="24"/>
          <w:szCs w:val="24"/>
        </w:rPr>
        <w:t>ЗАКЛЮЧЕНИЕ</w:t>
      </w:r>
      <w:r w:rsidR="006176C8">
        <w:rPr>
          <w:sz w:val="24"/>
          <w:szCs w:val="24"/>
        </w:rPr>
        <w:t xml:space="preserve">. </w:t>
      </w:r>
      <w:r w:rsidRPr="00A606AF">
        <w:rPr>
          <w:sz w:val="24"/>
          <w:szCs w:val="24"/>
        </w:rPr>
        <w:t xml:space="preserve">У пациентов, перенесших рецидив заболевания после повторной рандомизации в группу плацебо, повторное назначение озанимода было связано с восстановлением ответа и долгосрочными эндоскопическими и гистологическими </w:t>
      </w:r>
      <w:r w:rsidR="00FB1432">
        <w:rPr>
          <w:sz w:val="24"/>
          <w:szCs w:val="24"/>
        </w:rPr>
        <w:t>улучшением</w:t>
      </w:r>
      <w:r w:rsidRPr="00A606AF">
        <w:rPr>
          <w:sz w:val="24"/>
          <w:szCs w:val="24"/>
        </w:rPr>
        <w:t>, включая гистологическую ремиссию и заживление слизистой оболочки. Эти данные свидетельствуют о том, что пациентам, у которых наблюдается рецидив заболевания при временном прекращении приема озанимода,</w:t>
      </w:r>
      <w:r w:rsidR="007E5127">
        <w:rPr>
          <w:sz w:val="24"/>
          <w:szCs w:val="24"/>
        </w:rPr>
        <w:t xml:space="preserve"> </w:t>
      </w:r>
      <w:r w:rsidRPr="00A606AF">
        <w:rPr>
          <w:sz w:val="24"/>
          <w:szCs w:val="24"/>
        </w:rPr>
        <w:t>возобновление лечения</w:t>
      </w:r>
      <w:r w:rsidR="007E5127">
        <w:rPr>
          <w:sz w:val="24"/>
          <w:szCs w:val="24"/>
        </w:rPr>
        <w:t xml:space="preserve"> возможно</w:t>
      </w:r>
      <w:r w:rsidRPr="00A606AF">
        <w:rPr>
          <w:sz w:val="24"/>
          <w:szCs w:val="24"/>
        </w:rPr>
        <w:t>.</w:t>
      </w:r>
    </w:p>
    <w:p w14:paraId="6C8CCA74" w14:textId="78D05A96" w:rsidR="00D80D42" w:rsidRPr="004F14F6" w:rsidRDefault="004F14F6" w:rsidP="007E512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7356BBA" wp14:editId="412B3DA5">
            <wp:extent cx="3533775" cy="38153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12" cy="383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23C9E" w14:textId="77777777" w:rsidR="00314C06" w:rsidRPr="004F14F6" w:rsidRDefault="00314C06" w:rsidP="007A22B7">
      <w:pPr>
        <w:rPr>
          <w:sz w:val="24"/>
          <w:szCs w:val="24"/>
        </w:rPr>
      </w:pPr>
    </w:p>
    <w:p w14:paraId="5ABFAEF0" w14:textId="2E2A5EE8" w:rsidR="00314C06" w:rsidRPr="00257F82" w:rsidRDefault="00314C06" w:rsidP="007A22B7">
      <w:pPr>
        <w:rPr>
          <w:b/>
          <w:bCs/>
          <w:color w:val="4F81BD" w:themeColor="accent1"/>
          <w:sz w:val="32"/>
          <w:szCs w:val="32"/>
        </w:rPr>
      </w:pPr>
      <w:r w:rsidRPr="00257F82">
        <w:rPr>
          <w:b/>
          <w:bCs/>
          <w:color w:val="4F81BD" w:themeColor="accent1"/>
          <w:sz w:val="32"/>
          <w:szCs w:val="32"/>
        </w:rPr>
        <w:t>DOP42 Эффективность этразимода в отношении облегчения симптомов у пациентов с язвенным колитом: анализ исследований 3 фазы ELEVATE UC 52 и ELEVATE UC 12</w:t>
      </w:r>
    </w:p>
    <w:p w14:paraId="7E6AE7DE" w14:textId="79DCC95C" w:rsidR="00F628F6" w:rsidRPr="00440E46" w:rsidRDefault="00F628F6" w:rsidP="007A22B7">
      <w:pPr>
        <w:rPr>
          <w:lang w:val="en-US"/>
        </w:rPr>
      </w:pPr>
      <w:r w:rsidRPr="00257F82">
        <w:rPr>
          <w:lang w:val="en-US"/>
        </w:rPr>
        <w:t>Chaparro, M.;</w:t>
      </w:r>
      <w:r w:rsidR="009E46CD" w:rsidRPr="00257F82">
        <w:rPr>
          <w:lang w:val="en-US"/>
        </w:rPr>
        <w:t xml:space="preserve"> </w:t>
      </w:r>
      <w:r w:rsidRPr="00257F82">
        <w:rPr>
          <w:lang w:val="en-US"/>
        </w:rPr>
        <w:t>Armuzzi, A.;</w:t>
      </w:r>
      <w:r w:rsidR="009E46CD" w:rsidRPr="00257F82">
        <w:rPr>
          <w:lang w:val="en-US"/>
        </w:rPr>
        <w:t xml:space="preserve"> </w:t>
      </w:r>
      <w:r w:rsidRPr="00257F82">
        <w:rPr>
          <w:lang w:val="en-US"/>
        </w:rPr>
        <w:t>Irving, P.M.;</w:t>
      </w:r>
      <w:r w:rsidR="009E46CD" w:rsidRPr="00257F82">
        <w:rPr>
          <w:lang w:val="en-US"/>
        </w:rPr>
        <w:t xml:space="preserve"> </w:t>
      </w:r>
      <w:r w:rsidRPr="00257F82">
        <w:rPr>
          <w:lang w:val="en-US"/>
        </w:rPr>
        <w:t>Allez, M.;</w:t>
      </w:r>
      <w:r w:rsidR="009E46CD" w:rsidRPr="00257F82">
        <w:rPr>
          <w:lang w:val="en-US"/>
        </w:rPr>
        <w:t xml:space="preserve"> </w:t>
      </w:r>
      <w:r w:rsidRPr="00257F82">
        <w:rPr>
          <w:lang w:val="en-US"/>
        </w:rPr>
        <w:t>Dubinsky, M.C.;</w:t>
      </w:r>
      <w:r w:rsidR="009E46CD" w:rsidRPr="00257F82">
        <w:rPr>
          <w:lang w:val="en-US"/>
        </w:rPr>
        <w:t xml:space="preserve"> </w:t>
      </w:r>
      <w:r w:rsidRPr="00257F82">
        <w:rPr>
          <w:lang w:val="en-US"/>
        </w:rPr>
        <w:t>Sands, B.E.;</w:t>
      </w:r>
      <w:r w:rsidR="009E46CD" w:rsidRPr="00257F82">
        <w:rPr>
          <w:lang w:val="en-US"/>
        </w:rPr>
        <w:t xml:space="preserve"> </w:t>
      </w:r>
      <w:r w:rsidRPr="00257F82">
        <w:rPr>
          <w:lang w:val="en-US"/>
        </w:rPr>
        <w:t>Goetsch, M</w:t>
      </w:r>
      <w:r w:rsidR="00257F82" w:rsidRPr="00257F82">
        <w:rPr>
          <w:lang w:val="en-US"/>
        </w:rPr>
        <w:t>. Et al.</w:t>
      </w:r>
    </w:p>
    <w:p w14:paraId="45EBD848" w14:textId="15AA0173" w:rsidR="009E46CD" w:rsidRPr="009E46CD" w:rsidRDefault="007A0B5F" w:rsidP="007C3FE4">
      <w:pPr>
        <w:ind w:firstLine="708"/>
        <w:rPr>
          <w:sz w:val="24"/>
          <w:szCs w:val="24"/>
        </w:rPr>
      </w:pPr>
      <w:r w:rsidRPr="007A0B5F">
        <w:rPr>
          <w:sz w:val="24"/>
          <w:szCs w:val="24"/>
        </w:rPr>
        <w:t>Этра</w:t>
      </w:r>
      <w:r>
        <w:rPr>
          <w:sz w:val="24"/>
          <w:szCs w:val="24"/>
        </w:rPr>
        <w:t>з</w:t>
      </w:r>
      <w:r w:rsidRPr="007A0B5F">
        <w:rPr>
          <w:sz w:val="24"/>
          <w:szCs w:val="24"/>
        </w:rPr>
        <w:t>имод представляет собой пероральный селективный модулятор сфингозин-1-фосфатных рецепторов 1,4,5 (S1P1,4,5) для приема один раз в день, разраб</w:t>
      </w:r>
      <w:r>
        <w:rPr>
          <w:sz w:val="24"/>
          <w:szCs w:val="24"/>
        </w:rPr>
        <w:t xml:space="preserve">отанный </w:t>
      </w:r>
      <w:r w:rsidRPr="007A0B5F">
        <w:rPr>
          <w:sz w:val="24"/>
          <w:szCs w:val="24"/>
        </w:rPr>
        <w:t>для лечения ЯК средней и тяжелой степени активности</w:t>
      </w:r>
      <w:r>
        <w:rPr>
          <w:sz w:val="24"/>
          <w:szCs w:val="24"/>
        </w:rPr>
        <w:t xml:space="preserve">. </w:t>
      </w:r>
      <w:r w:rsidR="009E46CD" w:rsidRPr="009E46CD">
        <w:rPr>
          <w:sz w:val="24"/>
          <w:szCs w:val="24"/>
        </w:rPr>
        <w:t xml:space="preserve">В исследованиях </w:t>
      </w:r>
      <w:r w:rsidR="009E46CD" w:rsidRPr="009E46CD">
        <w:rPr>
          <w:sz w:val="24"/>
          <w:szCs w:val="24"/>
          <w:lang w:val="en-US"/>
        </w:rPr>
        <w:t>ELEVATE</w:t>
      </w:r>
      <w:r w:rsidR="009E46CD" w:rsidRPr="009E46CD">
        <w:rPr>
          <w:sz w:val="24"/>
          <w:szCs w:val="24"/>
        </w:rPr>
        <w:t xml:space="preserve"> </w:t>
      </w:r>
      <w:r w:rsidR="009E46CD" w:rsidRPr="009E46CD">
        <w:rPr>
          <w:sz w:val="24"/>
          <w:szCs w:val="24"/>
          <w:lang w:val="en-US"/>
        </w:rPr>
        <w:t>UC</w:t>
      </w:r>
      <w:r w:rsidR="009E46CD" w:rsidRPr="009E46CD">
        <w:rPr>
          <w:sz w:val="24"/>
          <w:szCs w:val="24"/>
        </w:rPr>
        <w:t xml:space="preserve"> 52 (</w:t>
      </w:r>
      <w:r w:rsidR="009E46CD" w:rsidRPr="009E46CD">
        <w:rPr>
          <w:sz w:val="24"/>
          <w:szCs w:val="24"/>
          <w:lang w:val="en-US"/>
        </w:rPr>
        <w:t>NCT</w:t>
      </w:r>
      <w:r w:rsidR="009E46CD" w:rsidRPr="009E46CD">
        <w:rPr>
          <w:sz w:val="24"/>
          <w:szCs w:val="24"/>
        </w:rPr>
        <w:t xml:space="preserve">03945188) и </w:t>
      </w:r>
      <w:r w:rsidR="009E46CD" w:rsidRPr="009E46CD">
        <w:rPr>
          <w:sz w:val="24"/>
          <w:szCs w:val="24"/>
          <w:lang w:val="en-US"/>
        </w:rPr>
        <w:t>ELEVATE</w:t>
      </w:r>
      <w:r w:rsidR="009E46CD" w:rsidRPr="009E46CD">
        <w:rPr>
          <w:sz w:val="24"/>
          <w:szCs w:val="24"/>
        </w:rPr>
        <w:t xml:space="preserve"> </w:t>
      </w:r>
      <w:r w:rsidR="009E46CD" w:rsidRPr="009E46CD">
        <w:rPr>
          <w:sz w:val="24"/>
          <w:szCs w:val="24"/>
          <w:lang w:val="en-US"/>
        </w:rPr>
        <w:t>UC</w:t>
      </w:r>
      <w:r w:rsidR="009E46CD" w:rsidRPr="009E46CD">
        <w:rPr>
          <w:sz w:val="24"/>
          <w:szCs w:val="24"/>
        </w:rPr>
        <w:t xml:space="preserve"> 12 (</w:t>
      </w:r>
      <w:r w:rsidR="009E46CD" w:rsidRPr="009E46CD">
        <w:rPr>
          <w:sz w:val="24"/>
          <w:szCs w:val="24"/>
          <w:lang w:val="en-US"/>
        </w:rPr>
        <w:t>NCT</w:t>
      </w:r>
      <w:r w:rsidR="009E46CD" w:rsidRPr="009E46CD">
        <w:rPr>
          <w:sz w:val="24"/>
          <w:szCs w:val="24"/>
        </w:rPr>
        <w:t>03996369) пациенты (16–80 лет) были рандомизированы в соотношении 2:1 для приема этразимода 2 мг один раз в сутки или плацебо (</w:t>
      </w:r>
      <w:r w:rsidR="009E46CD" w:rsidRPr="009E46CD">
        <w:rPr>
          <w:sz w:val="24"/>
          <w:szCs w:val="24"/>
          <w:lang w:val="en-US"/>
        </w:rPr>
        <w:t>PBO</w:t>
      </w:r>
      <w:r w:rsidR="009E46CD" w:rsidRPr="009E46CD">
        <w:rPr>
          <w:sz w:val="24"/>
          <w:szCs w:val="24"/>
        </w:rPr>
        <w:t xml:space="preserve">). В </w:t>
      </w:r>
      <w:r w:rsidR="009E46CD" w:rsidRPr="009E46CD">
        <w:rPr>
          <w:sz w:val="24"/>
          <w:szCs w:val="24"/>
          <w:lang w:val="en-US"/>
        </w:rPr>
        <w:t>ELEVATE</w:t>
      </w:r>
      <w:r w:rsidR="009E46CD" w:rsidRPr="009E46CD">
        <w:rPr>
          <w:sz w:val="24"/>
          <w:szCs w:val="24"/>
        </w:rPr>
        <w:t xml:space="preserve"> </w:t>
      </w:r>
      <w:r w:rsidR="009E46CD" w:rsidRPr="009E46CD">
        <w:rPr>
          <w:sz w:val="24"/>
          <w:szCs w:val="24"/>
          <w:lang w:val="en-US"/>
        </w:rPr>
        <w:t>UC</w:t>
      </w:r>
      <w:r w:rsidR="009E46CD" w:rsidRPr="009E46CD">
        <w:rPr>
          <w:sz w:val="24"/>
          <w:szCs w:val="24"/>
        </w:rPr>
        <w:t xml:space="preserve"> 52 использовалась сквозная схема лечения, включающая 12-недельный индукционный период, за которым следовал 40-недельный поддерживающий период. </w:t>
      </w:r>
      <w:r w:rsidR="009E46CD" w:rsidRPr="009E46CD">
        <w:rPr>
          <w:sz w:val="24"/>
          <w:szCs w:val="24"/>
          <w:lang w:val="en-US"/>
        </w:rPr>
        <w:t>ELEVATE</w:t>
      </w:r>
      <w:r w:rsidR="009E46CD" w:rsidRPr="009E46CD">
        <w:rPr>
          <w:sz w:val="24"/>
          <w:szCs w:val="24"/>
        </w:rPr>
        <w:t xml:space="preserve"> </w:t>
      </w:r>
      <w:r w:rsidR="009E46CD" w:rsidRPr="009E46CD">
        <w:rPr>
          <w:sz w:val="24"/>
          <w:szCs w:val="24"/>
          <w:lang w:val="en-US"/>
        </w:rPr>
        <w:t>UC</w:t>
      </w:r>
      <w:r w:rsidR="009E46CD" w:rsidRPr="009E46CD">
        <w:rPr>
          <w:sz w:val="24"/>
          <w:szCs w:val="24"/>
        </w:rPr>
        <w:t xml:space="preserve"> 12 включал 12-недельный индукционный период. Ключевой вторичной конечной точкой была доля пациентов с симптоматической ремиссией (</w:t>
      </w:r>
      <w:r w:rsidR="009E46CD" w:rsidRPr="009E46CD">
        <w:rPr>
          <w:sz w:val="24"/>
          <w:szCs w:val="24"/>
          <w:lang w:val="en-US"/>
        </w:rPr>
        <w:t>SF</w:t>
      </w:r>
      <w:r w:rsidR="009E46CD" w:rsidRPr="009E46CD">
        <w:rPr>
          <w:sz w:val="24"/>
          <w:szCs w:val="24"/>
        </w:rPr>
        <w:t xml:space="preserve"> = 0 [или = 1 со снижением на ≥ 1 балла по сравнению с исходным уровнем] и </w:t>
      </w:r>
      <w:r w:rsidR="009E46CD" w:rsidRPr="009E46CD">
        <w:rPr>
          <w:sz w:val="24"/>
          <w:szCs w:val="24"/>
          <w:lang w:val="en-US"/>
        </w:rPr>
        <w:t>RB</w:t>
      </w:r>
      <w:r w:rsidR="009E46CD" w:rsidRPr="009E46CD">
        <w:rPr>
          <w:sz w:val="24"/>
          <w:szCs w:val="24"/>
        </w:rPr>
        <w:t xml:space="preserve"> = 0) на 12-й и 52-й неделе. Подшкалы </w:t>
      </w:r>
      <w:r w:rsidR="009E46CD" w:rsidRPr="009E46CD">
        <w:rPr>
          <w:sz w:val="24"/>
          <w:szCs w:val="24"/>
          <w:lang w:val="en-US"/>
        </w:rPr>
        <w:t>RB</w:t>
      </w:r>
      <w:r w:rsidR="009E46CD" w:rsidRPr="009E46CD">
        <w:rPr>
          <w:sz w:val="24"/>
          <w:szCs w:val="24"/>
        </w:rPr>
        <w:t xml:space="preserve"> и </w:t>
      </w:r>
      <w:r w:rsidR="009E46CD" w:rsidRPr="009E46CD">
        <w:rPr>
          <w:sz w:val="24"/>
          <w:szCs w:val="24"/>
          <w:lang w:val="en-US"/>
        </w:rPr>
        <w:t>SF</w:t>
      </w:r>
      <w:r w:rsidR="009E46CD" w:rsidRPr="009E46CD">
        <w:rPr>
          <w:sz w:val="24"/>
          <w:szCs w:val="24"/>
        </w:rPr>
        <w:t>, достижение симптоматической ремиссии, полная симптоматическая ремиссия (</w:t>
      </w:r>
      <w:r w:rsidR="009E46CD" w:rsidRPr="009E46CD">
        <w:rPr>
          <w:sz w:val="24"/>
          <w:szCs w:val="24"/>
          <w:lang w:val="en-US"/>
        </w:rPr>
        <w:t>SF</w:t>
      </w:r>
      <w:r w:rsidR="009E46CD" w:rsidRPr="009E46CD">
        <w:rPr>
          <w:sz w:val="24"/>
          <w:szCs w:val="24"/>
        </w:rPr>
        <w:t xml:space="preserve"> = 0 и </w:t>
      </w:r>
      <w:r w:rsidR="009E46CD" w:rsidRPr="009E46CD">
        <w:rPr>
          <w:sz w:val="24"/>
          <w:szCs w:val="24"/>
          <w:lang w:val="en-US"/>
        </w:rPr>
        <w:t>RB</w:t>
      </w:r>
      <w:r w:rsidR="009E46CD" w:rsidRPr="009E46CD">
        <w:rPr>
          <w:sz w:val="24"/>
          <w:szCs w:val="24"/>
        </w:rPr>
        <w:t xml:space="preserve"> = 0) и симптоматический ответ (снижение ≥30% от исходного уровня в комбинированных подшкалах </w:t>
      </w:r>
      <w:r w:rsidR="009E46CD" w:rsidRPr="009E46CD">
        <w:rPr>
          <w:sz w:val="24"/>
          <w:szCs w:val="24"/>
          <w:lang w:val="en-US"/>
        </w:rPr>
        <w:t>RB</w:t>
      </w:r>
      <w:r w:rsidR="009E46CD" w:rsidRPr="009E46CD">
        <w:rPr>
          <w:sz w:val="24"/>
          <w:szCs w:val="24"/>
        </w:rPr>
        <w:t>/</w:t>
      </w:r>
      <w:r w:rsidR="009E46CD" w:rsidRPr="009E46CD">
        <w:rPr>
          <w:sz w:val="24"/>
          <w:szCs w:val="24"/>
          <w:lang w:val="en-US"/>
        </w:rPr>
        <w:t>SF</w:t>
      </w:r>
      <w:r w:rsidR="009E46CD" w:rsidRPr="009E46CD">
        <w:rPr>
          <w:sz w:val="24"/>
          <w:szCs w:val="24"/>
        </w:rPr>
        <w:t xml:space="preserve">) оценивались при каждом посещении. </w:t>
      </w:r>
    </w:p>
    <w:p w14:paraId="39CA7A3B" w14:textId="3B719F3F" w:rsidR="00F628F6" w:rsidRDefault="009E46CD" w:rsidP="009E46CD">
      <w:pPr>
        <w:rPr>
          <w:sz w:val="24"/>
          <w:szCs w:val="24"/>
        </w:rPr>
      </w:pPr>
      <w:r w:rsidRPr="009E46CD">
        <w:rPr>
          <w:sz w:val="24"/>
          <w:szCs w:val="24"/>
        </w:rPr>
        <w:t>ПОЛУЧЕННЫЕ РЕЗУЛЬТАТЫ</w:t>
      </w:r>
      <w:r w:rsidR="007C3FE4">
        <w:rPr>
          <w:sz w:val="24"/>
          <w:szCs w:val="24"/>
        </w:rPr>
        <w:t xml:space="preserve">. </w:t>
      </w:r>
      <w:r w:rsidRPr="009E46CD">
        <w:rPr>
          <w:sz w:val="24"/>
          <w:szCs w:val="24"/>
        </w:rPr>
        <w:t>Большее количество пациентов, получавших этра</w:t>
      </w:r>
      <w:r w:rsidR="007C3FE4">
        <w:rPr>
          <w:sz w:val="24"/>
          <w:szCs w:val="24"/>
        </w:rPr>
        <w:t>з</w:t>
      </w:r>
      <w:r w:rsidRPr="009E46CD">
        <w:rPr>
          <w:sz w:val="24"/>
          <w:szCs w:val="24"/>
        </w:rPr>
        <w:t xml:space="preserve">имод, по сравнению с пациентами, получавшими ПВО, достигли симптоматической ремиссии к 2-й неделе в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52 (15,3% против 8,9%; </w:t>
      </w:r>
      <w:r w:rsidRPr="009E46CD">
        <w:rPr>
          <w:sz w:val="24"/>
          <w:szCs w:val="24"/>
          <w:lang w:val="en-US"/>
        </w:rPr>
        <w:t>P</w:t>
      </w:r>
      <w:r w:rsidRPr="009E46CD">
        <w:rPr>
          <w:sz w:val="24"/>
          <w:szCs w:val="24"/>
        </w:rPr>
        <w:t xml:space="preserve"> = 0,049) и к 4-й неделе в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12 (27,5% против 16,1%; </w:t>
      </w:r>
      <w:r w:rsidRPr="009E46CD">
        <w:rPr>
          <w:sz w:val="24"/>
          <w:szCs w:val="24"/>
          <w:lang w:val="en-US"/>
        </w:rPr>
        <w:t>P</w:t>
      </w:r>
      <w:r w:rsidRPr="009E46CD">
        <w:rPr>
          <w:sz w:val="24"/>
          <w:szCs w:val="24"/>
        </w:rPr>
        <w:t xml:space="preserve"> = 0,007). Симптоматическая ремиссия увеличивалась у пациентов, получавших этра</w:t>
      </w:r>
      <w:r w:rsidR="007C3FE4">
        <w:rPr>
          <w:sz w:val="24"/>
          <w:szCs w:val="24"/>
        </w:rPr>
        <w:t>з</w:t>
      </w:r>
      <w:r w:rsidRPr="009E46CD">
        <w:rPr>
          <w:sz w:val="24"/>
          <w:szCs w:val="24"/>
        </w:rPr>
        <w:t xml:space="preserve">имод, по сравнению с пациентами, получавшими ПВО, в каждый момент времени на протяжении 12-й недели как в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52 (46,0% против 21,5%; </w:t>
      </w:r>
      <w:r w:rsidRPr="009E46CD">
        <w:rPr>
          <w:sz w:val="24"/>
          <w:szCs w:val="24"/>
          <w:lang w:val="en-US"/>
        </w:rPr>
        <w:t>P</w:t>
      </w:r>
      <w:r w:rsidRPr="009E46CD">
        <w:rPr>
          <w:sz w:val="24"/>
          <w:szCs w:val="24"/>
        </w:rPr>
        <w:t xml:space="preserve">&lt;0,001), так и в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12 (46,8% против 29,5%; </w:t>
      </w:r>
      <w:r w:rsidRPr="009E46CD">
        <w:rPr>
          <w:sz w:val="24"/>
          <w:szCs w:val="24"/>
          <w:lang w:val="en-US"/>
        </w:rPr>
        <w:t>P</w:t>
      </w:r>
      <w:r w:rsidRPr="009E46CD">
        <w:rPr>
          <w:sz w:val="24"/>
          <w:szCs w:val="24"/>
        </w:rPr>
        <w:t xml:space="preserve">=0,001) и сохранялась до 52-й недели в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52 (43,4% против 18,5). %; </w:t>
      </w:r>
      <w:r w:rsidRPr="009E46CD">
        <w:rPr>
          <w:sz w:val="24"/>
          <w:szCs w:val="24"/>
          <w:lang w:val="en-US"/>
        </w:rPr>
        <w:t>P</w:t>
      </w:r>
      <w:r w:rsidRPr="009E46CD">
        <w:rPr>
          <w:sz w:val="24"/>
          <w:szCs w:val="24"/>
        </w:rPr>
        <w:t xml:space="preserve">&lt;0,001). Достижение симптоматического ответа и значительное улучшение подшкал </w:t>
      </w:r>
      <w:r w:rsidRPr="009E46CD">
        <w:rPr>
          <w:sz w:val="24"/>
          <w:szCs w:val="24"/>
          <w:lang w:val="en-US"/>
        </w:rPr>
        <w:t>RB</w:t>
      </w:r>
      <w:r w:rsidRPr="009E46CD">
        <w:rPr>
          <w:sz w:val="24"/>
          <w:szCs w:val="24"/>
        </w:rPr>
        <w:t xml:space="preserve"> и </w:t>
      </w:r>
      <w:r w:rsidRPr="009E46CD">
        <w:rPr>
          <w:sz w:val="24"/>
          <w:szCs w:val="24"/>
          <w:lang w:val="en-US"/>
        </w:rPr>
        <w:t>SF</w:t>
      </w:r>
      <w:r w:rsidRPr="009E46CD">
        <w:rPr>
          <w:sz w:val="24"/>
          <w:szCs w:val="24"/>
        </w:rPr>
        <w:t xml:space="preserve"> началось уже на 2-й или 4-й неделе для этразимода по сравнению с ПВО в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12 и </w:t>
      </w:r>
      <w:r w:rsidRPr="009E46CD">
        <w:rPr>
          <w:sz w:val="24"/>
          <w:szCs w:val="24"/>
          <w:lang w:val="en-US"/>
        </w:rPr>
        <w:t>ELEVATE</w:t>
      </w:r>
      <w:r w:rsidRPr="009E46CD">
        <w:rPr>
          <w:sz w:val="24"/>
          <w:szCs w:val="24"/>
        </w:rPr>
        <w:t xml:space="preserve"> </w:t>
      </w:r>
      <w:r w:rsidRPr="009E46CD">
        <w:rPr>
          <w:sz w:val="24"/>
          <w:szCs w:val="24"/>
          <w:lang w:val="en-US"/>
        </w:rPr>
        <w:t>UC</w:t>
      </w:r>
      <w:r w:rsidRPr="009E46CD">
        <w:rPr>
          <w:sz w:val="24"/>
          <w:szCs w:val="24"/>
        </w:rPr>
        <w:t xml:space="preserve"> 52 соответственно. Значительная разница в полной симптоматической ремиссии была достигнута на 4-й неделе в обоих исследованиях. Анализ симптоматической ремиссии в подгруппах показал тенденцию к большей пользе у пациентов, ранее не получавших </w:t>
      </w:r>
      <w:r w:rsidR="005F67F7">
        <w:rPr>
          <w:sz w:val="24"/>
          <w:szCs w:val="24"/>
        </w:rPr>
        <w:t>ГИБП</w:t>
      </w:r>
      <w:r w:rsidRPr="009E46CD">
        <w:rPr>
          <w:sz w:val="24"/>
          <w:szCs w:val="24"/>
        </w:rPr>
        <w:t>/</w:t>
      </w:r>
      <w:r w:rsidRPr="009E46CD">
        <w:rPr>
          <w:sz w:val="24"/>
          <w:szCs w:val="24"/>
          <w:lang w:val="en-US"/>
        </w:rPr>
        <w:t>JAKi</w:t>
      </w:r>
      <w:r w:rsidRPr="009E46CD">
        <w:rPr>
          <w:sz w:val="24"/>
          <w:szCs w:val="24"/>
        </w:rPr>
        <w:t>, и у пациентов с 1 предшествующ</w:t>
      </w:r>
      <w:r w:rsidR="005F67F7">
        <w:rPr>
          <w:sz w:val="24"/>
          <w:szCs w:val="24"/>
        </w:rPr>
        <w:t>им</w:t>
      </w:r>
      <w:r w:rsidRPr="009E46CD">
        <w:rPr>
          <w:sz w:val="24"/>
          <w:szCs w:val="24"/>
        </w:rPr>
        <w:t xml:space="preserve"> </w:t>
      </w:r>
      <w:r w:rsidR="005F67F7">
        <w:rPr>
          <w:sz w:val="24"/>
          <w:szCs w:val="24"/>
        </w:rPr>
        <w:t>ГИБП</w:t>
      </w:r>
      <w:r w:rsidRPr="009E46CD">
        <w:rPr>
          <w:sz w:val="24"/>
          <w:szCs w:val="24"/>
        </w:rPr>
        <w:t>/</w:t>
      </w:r>
      <w:r w:rsidRPr="009E46CD">
        <w:rPr>
          <w:sz w:val="24"/>
          <w:szCs w:val="24"/>
          <w:lang w:val="en-US"/>
        </w:rPr>
        <w:t>JAKi</w:t>
      </w:r>
      <w:r w:rsidRPr="009E46CD">
        <w:rPr>
          <w:sz w:val="24"/>
          <w:szCs w:val="24"/>
        </w:rPr>
        <w:t xml:space="preserve"> (по сравнению с &gt;1).</w:t>
      </w:r>
    </w:p>
    <w:p w14:paraId="380B632E" w14:textId="0611F226" w:rsidR="00592FC9" w:rsidRDefault="006E2B0B" w:rsidP="006E2B0B">
      <w:pPr>
        <w:rPr>
          <w:sz w:val="24"/>
          <w:szCs w:val="24"/>
        </w:rPr>
      </w:pPr>
      <w:r w:rsidRPr="006E2B0B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. </w:t>
      </w:r>
      <w:r w:rsidRPr="006E2B0B">
        <w:rPr>
          <w:sz w:val="24"/>
          <w:szCs w:val="24"/>
        </w:rPr>
        <w:t>В этом анализе симптоматическое</w:t>
      </w:r>
      <w:r>
        <w:rPr>
          <w:sz w:val="24"/>
          <w:szCs w:val="24"/>
        </w:rPr>
        <w:t xml:space="preserve"> улучшение</w:t>
      </w:r>
      <w:r w:rsidRPr="006E2B0B">
        <w:rPr>
          <w:sz w:val="24"/>
          <w:szCs w:val="24"/>
        </w:rPr>
        <w:t xml:space="preserve"> было достигнуто у большей части пациентов, получавших этра</w:t>
      </w:r>
      <w:r>
        <w:rPr>
          <w:sz w:val="24"/>
          <w:szCs w:val="24"/>
        </w:rPr>
        <w:t>з</w:t>
      </w:r>
      <w:r w:rsidRPr="006E2B0B">
        <w:rPr>
          <w:sz w:val="24"/>
          <w:szCs w:val="24"/>
        </w:rPr>
        <w:t>имод по сравнению с ПВО, уже на 2-й неделе и сохранялось до 52-й недели. На 2-й неделе наблюдался симптоматический ответ и улучшения по подшкалам RB и SF. Наибольшие преимущества были отмечены у пациентов, которые ранее н</w:t>
      </w:r>
      <w:r w:rsidR="000D5CC8">
        <w:rPr>
          <w:sz w:val="24"/>
          <w:szCs w:val="24"/>
        </w:rPr>
        <w:t>е получали</w:t>
      </w:r>
      <w:r w:rsidRPr="006E2B0B">
        <w:rPr>
          <w:sz w:val="24"/>
          <w:szCs w:val="24"/>
        </w:rPr>
        <w:t xml:space="preserve"> </w:t>
      </w:r>
      <w:r w:rsidR="000D5CC8">
        <w:rPr>
          <w:sz w:val="24"/>
          <w:szCs w:val="24"/>
        </w:rPr>
        <w:t>ГИБП</w:t>
      </w:r>
      <w:r w:rsidRPr="006E2B0B">
        <w:rPr>
          <w:sz w:val="24"/>
          <w:szCs w:val="24"/>
        </w:rPr>
        <w:t xml:space="preserve">/JAKi или </w:t>
      </w:r>
      <w:r w:rsidR="000D5CC8">
        <w:rPr>
          <w:sz w:val="24"/>
          <w:szCs w:val="24"/>
        </w:rPr>
        <w:t xml:space="preserve">получали </w:t>
      </w:r>
      <w:r w:rsidRPr="006E2B0B">
        <w:rPr>
          <w:sz w:val="24"/>
          <w:szCs w:val="24"/>
        </w:rPr>
        <w:t xml:space="preserve">1 </w:t>
      </w:r>
      <w:r w:rsidR="000D5CC8">
        <w:rPr>
          <w:sz w:val="24"/>
          <w:szCs w:val="24"/>
        </w:rPr>
        <w:t>ГИБП</w:t>
      </w:r>
      <w:r w:rsidRPr="006E2B0B">
        <w:rPr>
          <w:sz w:val="24"/>
          <w:szCs w:val="24"/>
        </w:rPr>
        <w:t>/JAKi.</w:t>
      </w:r>
    </w:p>
    <w:p w14:paraId="6736E514" w14:textId="3FEA5484" w:rsidR="006255E7" w:rsidRPr="009E46CD" w:rsidRDefault="006255E7" w:rsidP="009E46C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6A67A4F" wp14:editId="3324F7D8">
            <wp:extent cx="3528393" cy="529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20" cy="530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3C764" w14:textId="77777777" w:rsidR="00BD7ED5" w:rsidRDefault="00BD7ED5" w:rsidP="00246FC3">
      <w:pPr>
        <w:rPr>
          <w:sz w:val="24"/>
          <w:szCs w:val="24"/>
        </w:rPr>
      </w:pPr>
    </w:p>
    <w:p w14:paraId="3C0F9FA4" w14:textId="77777777" w:rsidR="000D5CC8" w:rsidRDefault="000D5CC8" w:rsidP="00246FC3">
      <w:pPr>
        <w:rPr>
          <w:sz w:val="24"/>
          <w:szCs w:val="24"/>
        </w:rPr>
      </w:pPr>
    </w:p>
    <w:p w14:paraId="05DA35B5" w14:textId="218EC4EE" w:rsidR="00E809DE" w:rsidRPr="008971CB" w:rsidRDefault="00E809DE" w:rsidP="00523E7D">
      <w:pPr>
        <w:ind w:firstLine="708"/>
        <w:rPr>
          <w:b/>
          <w:bCs/>
          <w:color w:val="4F81BD" w:themeColor="accent1"/>
          <w:sz w:val="32"/>
          <w:szCs w:val="32"/>
        </w:rPr>
      </w:pPr>
      <w:r w:rsidRPr="008971CB">
        <w:rPr>
          <w:b/>
          <w:bCs/>
          <w:color w:val="4F81BD" w:themeColor="accent1"/>
          <w:sz w:val="32"/>
          <w:szCs w:val="32"/>
        </w:rPr>
        <w:t xml:space="preserve">DOP41 Достижение клинических конечных точек без кортикостероидов </w:t>
      </w:r>
      <w:r w:rsidR="00842C12" w:rsidRPr="008971CB">
        <w:rPr>
          <w:b/>
          <w:bCs/>
          <w:color w:val="4F81BD" w:themeColor="accent1"/>
          <w:sz w:val="32"/>
          <w:szCs w:val="32"/>
        </w:rPr>
        <w:t xml:space="preserve">на терапии этразимодом </w:t>
      </w:r>
      <w:r w:rsidRPr="008971CB">
        <w:rPr>
          <w:b/>
          <w:bCs/>
          <w:color w:val="4F81BD" w:themeColor="accent1"/>
          <w:sz w:val="32"/>
          <w:szCs w:val="32"/>
        </w:rPr>
        <w:t>у</w:t>
      </w:r>
      <w:r w:rsidR="00842C12" w:rsidRPr="008971CB">
        <w:rPr>
          <w:b/>
          <w:bCs/>
          <w:color w:val="4F81BD" w:themeColor="accent1"/>
          <w:sz w:val="32"/>
          <w:szCs w:val="32"/>
        </w:rPr>
        <w:t xml:space="preserve"> пациентов</w:t>
      </w:r>
      <w:r w:rsidRPr="008971CB">
        <w:rPr>
          <w:b/>
          <w:bCs/>
          <w:color w:val="4F81BD" w:themeColor="accent1"/>
          <w:sz w:val="32"/>
          <w:szCs w:val="32"/>
        </w:rPr>
        <w:t xml:space="preserve"> с язвенным колитом: анализ фазы 3 исследования ELEVATE UC 52</w:t>
      </w:r>
    </w:p>
    <w:p w14:paraId="2A3EDD9B" w14:textId="055857BB" w:rsidR="00842C12" w:rsidRPr="008971CB" w:rsidRDefault="008971CB" w:rsidP="00523E7D">
      <w:pPr>
        <w:ind w:firstLine="708"/>
        <w:rPr>
          <w:lang w:val="en-US"/>
        </w:rPr>
      </w:pPr>
      <w:r w:rsidRPr="008971CB">
        <w:rPr>
          <w:lang w:val="en-US"/>
        </w:rPr>
        <w:t>Sands, B.E.; Rubin, D.T.; Panés, J.; Gecse, K.B.; Leung, Y.; Goetsch, M.</w:t>
      </w:r>
    </w:p>
    <w:p w14:paraId="49F883A9" w14:textId="0E0E788B" w:rsidR="00AA6975" w:rsidRPr="00AA6975" w:rsidRDefault="00AA6975" w:rsidP="008657FF">
      <w:pPr>
        <w:ind w:firstLine="708"/>
        <w:rPr>
          <w:sz w:val="24"/>
          <w:szCs w:val="24"/>
        </w:rPr>
      </w:pPr>
      <w:r w:rsidRPr="00AA6975">
        <w:rPr>
          <w:sz w:val="24"/>
          <w:szCs w:val="24"/>
        </w:rPr>
        <w:t>Достижение ремиссии без кортикостероидов (КС) является важным долгосрочным исходом при язвенном колите.</w:t>
      </w:r>
      <w:r w:rsidR="00523E7D">
        <w:rPr>
          <w:sz w:val="24"/>
          <w:szCs w:val="24"/>
        </w:rPr>
        <w:t xml:space="preserve"> </w:t>
      </w:r>
      <w:r w:rsidRPr="00AA6975">
        <w:rPr>
          <w:sz w:val="24"/>
          <w:szCs w:val="24"/>
        </w:rPr>
        <w:t>В исследовании ELEVATE UC 52 (NCT03945188) субъекты (16–80 лет) с активным ЯК средней и тяжелой степени были рандомизированы в соотношении 2:1 для приема этра</w:t>
      </w:r>
      <w:r w:rsidR="00523E7D">
        <w:rPr>
          <w:sz w:val="24"/>
          <w:szCs w:val="24"/>
        </w:rPr>
        <w:t>з</w:t>
      </w:r>
      <w:r w:rsidRPr="00AA6975">
        <w:rPr>
          <w:sz w:val="24"/>
          <w:szCs w:val="24"/>
        </w:rPr>
        <w:t xml:space="preserve">имода 2 мг один раз в сутки или плацебо (PBO). В ELEVATE UC 52 использовалась сквозная схема лечения, включающая 12-недельный индукционный период, за которым следовал 40-недельный поддерживающий период. При включении в исследование субъектам разрешалось одновременное лечение кортикостероидами (преднизон [≤20 мг/день], будесонид [≤9 мг/день] или эквивалент]) при условии, что они получали стабильную дозу за 4 недели до скрининговой эндоскопии. Снижение дозы КС началось после индукционного периода. В этом </w:t>
      </w:r>
      <w:r w:rsidR="007441B5">
        <w:rPr>
          <w:sz w:val="24"/>
          <w:szCs w:val="24"/>
        </w:rPr>
        <w:t>суб-</w:t>
      </w:r>
      <w:r w:rsidRPr="00AA6975">
        <w:rPr>
          <w:sz w:val="24"/>
          <w:szCs w:val="24"/>
        </w:rPr>
        <w:t xml:space="preserve">анализе сообщается о достижении клинической ремиссии без КС (определяемой как отсутствие воздействия КС в течение 12 недель непосредственно перед неделей 52), эндоскопическом улучшении без КС и </w:t>
      </w:r>
      <w:r w:rsidRPr="00AA6975">
        <w:rPr>
          <w:sz w:val="24"/>
          <w:szCs w:val="24"/>
        </w:rPr>
        <w:lastRenderedPageBreak/>
        <w:t>симптоматической ремиссии без КС на 52 неделе в популяции ELEVATE UC 52, а также о клинической ремиссии без КС в заранее определенных подгруппах.</w:t>
      </w:r>
    </w:p>
    <w:p w14:paraId="57454DA5" w14:textId="62583730" w:rsidR="000D5CC8" w:rsidRDefault="00AA6975" w:rsidP="00AA6975">
      <w:pPr>
        <w:rPr>
          <w:sz w:val="24"/>
          <w:szCs w:val="24"/>
        </w:rPr>
      </w:pPr>
      <w:r w:rsidRPr="00AA6975">
        <w:rPr>
          <w:sz w:val="24"/>
          <w:szCs w:val="24"/>
        </w:rPr>
        <w:t>ПОЛУЧЕННЫЕ РЕЗУЛЬТАТ</w:t>
      </w:r>
      <w:r w:rsidR="0074163D">
        <w:rPr>
          <w:sz w:val="24"/>
          <w:szCs w:val="24"/>
        </w:rPr>
        <w:t>Ы</w:t>
      </w:r>
      <w:r w:rsidR="0036256C">
        <w:rPr>
          <w:sz w:val="24"/>
          <w:szCs w:val="24"/>
        </w:rPr>
        <w:t>. З</w:t>
      </w:r>
      <w:r w:rsidRPr="00AA6975">
        <w:rPr>
          <w:sz w:val="24"/>
          <w:szCs w:val="24"/>
        </w:rPr>
        <w:t>начительно большая часть пациентов, получавших этра</w:t>
      </w:r>
      <w:r w:rsidR="0036256C">
        <w:rPr>
          <w:sz w:val="24"/>
          <w:szCs w:val="24"/>
        </w:rPr>
        <w:t>з</w:t>
      </w:r>
      <w:r w:rsidRPr="00AA6975">
        <w:rPr>
          <w:sz w:val="24"/>
          <w:szCs w:val="24"/>
        </w:rPr>
        <w:t>имод, имели клиническую ремиссию без КС (32,1% [88/274] против 6,7% [9/135]; P&lt;0,001), эндоскопическое улучшение без КС (36,9% [101/274] против 10,4% [14/135]; P&lt;0,001) и симптоматическую ремиссию без КС</w:t>
      </w:r>
      <w:r w:rsidR="0041467E">
        <w:rPr>
          <w:sz w:val="24"/>
          <w:szCs w:val="24"/>
        </w:rPr>
        <w:t xml:space="preserve"> </w:t>
      </w:r>
      <w:r w:rsidRPr="00AA6975">
        <w:rPr>
          <w:sz w:val="24"/>
          <w:szCs w:val="24"/>
        </w:rPr>
        <w:t>(43,4% [119/274] против 18,5% [25/135]; P&lt;0,001) на 52-й неделе по сравнению с ПВО. Подгрупповой анализ клинической ремиссии без КС продемонстрировал эффективность в подгруппах, включая предыдущее воздействие</w:t>
      </w:r>
      <w:r w:rsidR="00203293">
        <w:rPr>
          <w:sz w:val="24"/>
          <w:szCs w:val="24"/>
        </w:rPr>
        <w:t xml:space="preserve"> ГИБП</w:t>
      </w:r>
      <w:r w:rsidRPr="00AA6975">
        <w:rPr>
          <w:sz w:val="24"/>
          <w:szCs w:val="24"/>
        </w:rPr>
        <w:t>/JAKi, количество предшествующих</w:t>
      </w:r>
      <w:r w:rsidR="00203293">
        <w:rPr>
          <w:sz w:val="24"/>
          <w:szCs w:val="24"/>
        </w:rPr>
        <w:t xml:space="preserve"> ГИБП</w:t>
      </w:r>
      <w:r w:rsidRPr="00AA6975">
        <w:rPr>
          <w:sz w:val="24"/>
          <w:szCs w:val="24"/>
        </w:rPr>
        <w:t xml:space="preserve">/JAKi (0, 1 или &gt;1), тяжесть заболевания на исходном уровне (MMS 4-6 или 7-9) и </w:t>
      </w:r>
      <w:r w:rsidR="00203293">
        <w:rPr>
          <w:sz w:val="24"/>
          <w:szCs w:val="24"/>
        </w:rPr>
        <w:t>распространенность</w:t>
      </w:r>
      <w:r w:rsidRPr="00AA6975">
        <w:rPr>
          <w:sz w:val="24"/>
          <w:szCs w:val="24"/>
        </w:rPr>
        <w:t xml:space="preserve"> заболевания (проктит, левосторонний колит/проктосигмоидит или панколит). Наблюдалась тенденция к большей пользе у </w:t>
      </w:r>
      <w:r w:rsidR="00F34D31">
        <w:rPr>
          <w:sz w:val="24"/>
          <w:szCs w:val="24"/>
        </w:rPr>
        <w:t>пациентов</w:t>
      </w:r>
      <w:r w:rsidRPr="00AA6975">
        <w:rPr>
          <w:sz w:val="24"/>
          <w:szCs w:val="24"/>
        </w:rPr>
        <w:t xml:space="preserve">, которые ранее не принимали </w:t>
      </w:r>
      <w:r w:rsidR="00F34D31">
        <w:rPr>
          <w:sz w:val="24"/>
          <w:szCs w:val="24"/>
        </w:rPr>
        <w:t>ГИБП</w:t>
      </w:r>
      <w:r w:rsidRPr="00AA6975">
        <w:rPr>
          <w:sz w:val="24"/>
          <w:szCs w:val="24"/>
        </w:rPr>
        <w:t>/JAKi</w:t>
      </w:r>
      <w:r w:rsidR="00F34D31">
        <w:rPr>
          <w:sz w:val="24"/>
          <w:szCs w:val="24"/>
        </w:rPr>
        <w:t xml:space="preserve"> или </w:t>
      </w:r>
      <w:r w:rsidRPr="00AA6975">
        <w:rPr>
          <w:sz w:val="24"/>
          <w:szCs w:val="24"/>
        </w:rPr>
        <w:t>получали</w:t>
      </w:r>
      <w:r w:rsidR="00CB525D">
        <w:rPr>
          <w:sz w:val="24"/>
          <w:szCs w:val="24"/>
        </w:rPr>
        <w:t xml:space="preserve"> 1 ГИБП</w:t>
      </w:r>
      <w:r w:rsidRPr="00AA6975">
        <w:rPr>
          <w:sz w:val="24"/>
          <w:szCs w:val="24"/>
        </w:rPr>
        <w:t>/JAKi по сравнению с &gt;1.</w:t>
      </w:r>
    </w:p>
    <w:p w14:paraId="4C52B979" w14:textId="33352E4F" w:rsidR="00627E66" w:rsidRDefault="00627E66" w:rsidP="00AA697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5A6EEBE" wp14:editId="03EA7408">
            <wp:extent cx="5025210" cy="48672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00" cy="487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11B9A" w14:textId="79A9A27E" w:rsidR="00980037" w:rsidRDefault="00980037" w:rsidP="00980037">
      <w:pPr>
        <w:rPr>
          <w:sz w:val="24"/>
          <w:szCs w:val="24"/>
        </w:rPr>
      </w:pPr>
      <w:r w:rsidRPr="00980037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. </w:t>
      </w:r>
      <w:r w:rsidRPr="00980037">
        <w:rPr>
          <w:sz w:val="24"/>
          <w:szCs w:val="24"/>
        </w:rPr>
        <w:t>В исследовании ELEVATE UC 52 большая часть пациентов, получавших этра</w:t>
      </w:r>
      <w:r>
        <w:rPr>
          <w:sz w:val="24"/>
          <w:szCs w:val="24"/>
        </w:rPr>
        <w:t>з</w:t>
      </w:r>
      <w:r w:rsidRPr="00980037">
        <w:rPr>
          <w:sz w:val="24"/>
          <w:szCs w:val="24"/>
        </w:rPr>
        <w:t>имод, достигла клинической ремиссии без КС, эндоскопического улучшения без КС и симптоматической ремиссии без КС на 52-й неделе по сравнению с ПВО. Примечательно, что все пациенты ELEVATE UC 52, которые находились в клинической и симптоматической ремиссии на 52-й неделе</w:t>
      </w:r>
      <w:r w:rsidR="003F647C">
        <w:rPr>
          <w:sz w:val="24"/>
          <w:szCs w:val="24"/>
        </w:rPr>
        <w:t>, не получали</w:t>
      </w:r>
      <w:r w:rsidRPr="00980037">
        <w:rPr>
          <w:sz w:val="24"/>
          <w:szCs w:val="24"/>
        </w:rPr>
        <w:t xml:space="preserve"> КС</w:t>
      </w:r>
      <w:r w:rsidR="003F647C">
        <w:rPr>
          <w:sz w:val="24"/>
          <w:szCs w:val="24"/>
        </w:rPr>
        <w:t>.</w:t>
      </w:r>
    </w:p>
    <w:p w14:paraId="4FEEEF0D" w14:textId="77777777" w:rsidR="003F647C" w:rsidRDefault="003F647C" w:rsidP="00980037">
      <w:pPr>
        <w:rPr>
          <w:sz w:val="24"/>
          <w:szCs w:val="24"/>
        </w:rPr>
      </w:pPr>
    </w:p>
    <w:p w14:paraId="35314453" w14:textId="4807C7BE" w:rsidR="003F647C" w:rsidRPr="009E46CD" w:rsidRDefault="003F647C" w:rsidP="006B3446">
      <w:pPr>
        <w:rPr>
          <w:sz w:val="24"/>
          <w:szCs w:val="24"/>
        </w:rPr>
      </w:pPr>
    </w:p>
    <w:sectPr w:rsidR="003F647C" w:rsidRPr="009E46CD" w:rsidSect="00A23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F92B9" w14:textId="77777777" w:rsidR="00F663F7" w:rsidRDefault="00F663F7" w:rsidP="00C92258">
      <w:pPr>
        <w:spacing w:after="0" w:line="240" w:lineRule="auto"/>
      </w:pPr>
      <w:r>
        <w:separator/>
      </w:r>
    </w:p>
  </w:endnote>
  <w:endnote w:type="continuationSeparator" w:id="0">
    <w:p w14:paraId="4B8A1F76" w14:textId="77777777" w:rsidR="00F663F7" w:rsidRDefault="00F663F7" w:rsidP="00C9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634D6" w14:textId="77777777" w:rsidR="00F663F7" w:rsidRDefault="00F663F7" w:rsidP="00C92258">
      <w:pPr>
        <w:spacing w:after="0" w:line="240" w:lineRule="auto"/>
      </w:pPr>
      <w:r>
        <w:separator/>
      </w:r>
    </w:p>
  </w:footnote>
  <w:footnote w:type="continuationSeparator" w:id="0">
    <w:p w14:paraId="40BA9806" w14:textId="77777777" w:rsidR="00F663F7" w:rsidRDefault="00F663F7" w:rsidP="00C92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389"/>
    <w:rsid w:val="000056D5"/>
    <w:rsid w:val="00013CED"/>
    <w:rsid w:val="00016F50"/>
    <w:rsid w:val="00023B9C"/>
    <w:rsid w:val="00031D2D"/>
    <w:rsid w:val="000444EE"/>
    <w:rsid w:val="00044720"/>
    <w:rsid w:val="000452B0"/>
    <w:rsid w:val="00045BA9"/>
    <w:rsid w:val="00052B07"/>
    <w:rsid w:val="00053A54"/>
    <w:rsid w:val="00056171"/>
    <w:rsid w:val="0005629E"/>
    <w:rsid w:val="0005710C"/>
    <w:rsid w:val="00061AFE"/>
    <w:rsid w:val="00062496"/>
    <w:rsid w:val="0007615B"/>
    <w:rsid w:val="00077CFB"/>
    <w:rsid w:val="00092344"/>
    <w:rsid w:val="00093B69"/>
    <w:rsid w:val="000A35E1"/>
    <w:rsid w:val="000B0F22"/>
    <w:rsid w:val="000B1D75"/>
    <w:rsid w:val="000B73AB"/>
    <w:rsid w:val="000B7E3B"/>
    <w:rsid w:val="000D5CC8"/>
    <w:rsid w:val="000D77F2"/>
    <w:rsid w:val="000D7C1F"/>
    <w:rsid w:val="000E677E"/>
    <w:rsid w:val="000E6F58"/>
    <w:rsid w:val="000F3623"/>
    <w:rsid w:val="000F4480"/>
    <w:rsid w:val="00107580"/>
    <w:rsid w:val="00107F75"/>
    <w:rsid w:val="001114C9"/>
    <w:rsid w:val="0011386D"/>
    <w:rsid w:val="00115ED8"/>
    <w:rsid w:val="00116716"/>
    <w:rsid w:val="001171DC"/>
    <w:rsid w:val="00120792"/>
    <w:rsid w:val="0013290B"/>
    <w:rsid w:val="001418EF"/>
    <w:rsid w:val="00141F59"/>
    <w:rsid w:val="0016628F"/>
    <w:rsid w:val="00174054"/>
    <w:rsid w:val="001749E3"/>
    <w:rsid w:val="00174ADC"/>
    <w:rsid w:val="00175511"/>
    <w:rsid w:val="00180DA9"/>
    <w:rsid w:val="001A3454"/>
    <w:rsid w:val="001A7B17"/>
    <w:rsid w:val="001B3EB2"/>
    <w:rsid w:val="001B48EA"/>
    <w:rsid w:val="001C2784"/>
    <w:rsid w:val="001C5785"/>
    <w:rsid w:val="001C6CAA"/>
    <w:rsid w:val="001D2580"/>
    <w:rsid w:val="001E3F03"/>
    <w:rsid w:val="001E76A9"/>
    <w:rsid w:val="001F2250"/>
    <w:rsid w:val="001F564B"/>
    <w:rsid w:val="00203293"/>
    <w:rsid w:val="00207910"/>
    <w:rsid w:val="0021521C"/>
    <w:rsid w:val="00216F9F"/>
    <w:rsid w:val="002275C2"/>
    <w:rsid w:val="002369ED"/>
    <w:rsid w:val="00236A7F"/>
    <w:rsid w:val="00243616"/>
    <w:rsid w:val="00246FC3"/>
    <w:rsid w:val="00250B2C"/>
    <w:rsid w:val="002574C9"/>
    <w:rsid w:val="00257CF8"/>
    <w:rsid w:val="00257F82"/>
    <w:rsid w:val="002601A7"/>
    <w:rsid w:val="002605C2"/>
    <w:rsid w:val="002619F4"/>
    <w:rsid w:val="002659D9"/>
    <w:rsid w:val="0026795D"/>
    <w:rsid w:val="002720B8"/>
    <w:rsid w:val="0027258D"/>
    <w:rsid w:val="00275D18"/>
    <w:rsid w:val="00281E9D"/>
    <w:rsid w:val="00283D8F"/>
    <w:rsid w:val="00285BAB"/>
    <w:rsid w:val="002865FE"/>
    <w:rsid w:val="002906FB"/>
    <w:rsid w:val="00293AF5"/>
    <w:rsid w:val="002943BC"/>
    <w:rsid w:val="00296D41"/>
    <w:rsid w:val="002A1811"/>
    <w:rsid w:val="002B1CD6"/>
    <w:rsid w:val="002B45E4"/>
    <w:rsid w:val="002B5046"/>
    <w:rsid w:val="002C177F"/>
    <w:rsid w:val="002D2020"/>
    <w:rsid w:val="002E3515"/>
    <w:rsid w:val="002E5F3A"/>
    <w:rsid w:val="002F1242"/>
    <w:rsid w:val="002F3789"/>
    <w:rsid w:val="0030145D"/>
    <w:rsid w:val="0030560A"/>
    <w:rsid w:val="00306384"/>
    <w:rsid w:val="00314C06"/>
    <w:rsid w:val="00315E10"/>
    <w:rsid w:val="003213F1"/>
    <w:rsid w:val="00323A57"/>
    <w:rsid w:val="0034235C"/>
    <w:rsid w:val="00352B74"/>
    <w:rsid w:val="0036256C"/>
    <w:rsid w:val="00366FD8"/>
    <w:rsid w:val="00384B5D"/>
    <w:rsid w:val="003A36AE"/>
    <w:rsid w:val="003B1E7C"/>
    <w:rsid w:val="003B75E1"/>
    <w:rsid w:val="003C4558"/>
    <w:rsid w:val="003C6C28"/>
    <w:rsid w:val="003C79AA"/>
    <w:rsid w:val="003D7EA7"/>
    <w:rsid w:val="003E11F6"/>
    <w:rsid w:val="003E29F3"/>
    <w:rsid w:val="003E3F69"/>
    <w:rsid w:val="003F5A19"/>
    <w:rsid w:val="003F647C"/>
    <w:rsid w:val="00400336"/>
    <w:rsid w:val="004011A5"/>
    <w:rsid w:val="004015BF"/>
    <w:rsid w:val="00401FCA"/>
    <w:rsid w:val="00406EFC"/>
    <w:rsid w:val="0041467E"/>
    <w:rsid w:val="004231AE"/>
    <w:rsid w:val="004326CC"/>
    <w:rsid w:val="00440E46"/>
    <w:rsid w:val="004476D8"/>
    <w:rsid w:val="0046270B"/>
    <w:rsid w:val="0047490E"/>
    <w:rsid w:val="00477A2E"/>
    <w:rsid w:val="0048112C"/>
    <w:rsid w:val="00481B87"/>
    <w:rsid w:val="00493DA6"/>
    <w:rsid w:val="004A2B1F"/>
    <w:rsid w:val="004A3FAD"/>
    <w:rsid w:val="004B3FA1"/>
    <w:rsid w:val="004B5CFC"/>
    <w:rsid w:val="004C18A2"/>
    <w:rsid w:val="004C2F57"/>
    <w:rsid w:val="004C3A27"/>
    <w:rsid w:val="004D41DF"/>
    <w:rsid w:val="004D640E"/>
    <w:rsid w:val="004F14F6"/>
    <w:rsid w:val="004F7380"/>
    <w:rsid w:val="004F770B"/>
    <w:rsid w:val="005060D7"/>
    <w:rsid w:val="00513E3D"/>
    <w:rsid w:val="00523E7D"/>
    <w:rsid w:val="00532A02"/>
    <w:rsid w:val="00543712"/>
    <w:rsid w:val="00551B8B"/>
    <w:rsid w:val="00555295"/>
    <w:rsid w:val="00565EBA"/>
    <w:rsid w:val="00573794"/>
    <w:rsid w:val="005871A9"/>
    <w:rsid w:val="00587974"/>
    <w:rsid w:val="00587D35"/>
    <w:rsid w:val="00591541"/>
    <w:rsid w:val="00592FC9"/>
    <w:rsid w:val="00597652"/>
    <w:rsid w:val="00597CA0"/>
    <w:rsid w:val="005B2F92"/>
    <w:rsid w:val="005C27BF"/>
    <w:rsid w:val="005C618D"/>
    <w:rsid w:val="005D521E"/>
    <w:rsid w:val="005E0E31"/>
    <w:rsid w:val="005E1069"/>
    <w:rsid w:val="005E7739"/>
    <w:rsid w:val="005E7CB8"/>
    <w:rsid w:val="005F36FB"/>
    <w:rsid w:val="005F43A7"/>
    <w:rsid w:val="005F67F7"/>
    <w:rsid w:val="00603C74"/>
    <w:rsid w:val="00605EB3"/>
    <w:rsid w:val="00606922"/>
    <w:rsid w:val="006176C8"/>
    <w:rsid w:val="00620210"/>
    <w:rsid w:val="006255E7"/>
    <w:rsid w:val="00627E66"/>
    <w:rsid w:val="0063306A"/>
    <w:rsid w:val="00641165"/>
    <w:rsid w:val="00641C68"/>
    <w:rsid w:val="00642FCE"/>
    <w:rsid w:val="00645928"/>
    <w:rsid w:val="0064698F"/>
    <w:rsid w:val="0064794F"/>
    <w:rsid w:val="00655094"/>
    <w:rsid w:val="0066089A"/>
    <w:rsid w:val="00673869"/>
    <w:rsid w:val="00675C33"/>
    <w:rsid w:val="006829B9"/>
    <w:rsid w:val="0069612D"/>
    <w:rsid w:val="00697B2B"/>
    <w:rsid w:val="006A0157"/>
    <w:rsid w:val="006B3446"/>
    <w:rsid w:val="006B37AD"/>
    <w:rsid w:val="006C11CF"/>
    <w:rsid w:val="006D762D"/>
    <w:rsid w:val="006E2B0B"/>
    <w:rsid w:val="00710C2C"/>
    <w:rsid w:val="00712F06"/>
    <w:rsid w:val="007137CB"/>
    <w:rsid w:val="00721728"/>
    <w:rsid w:val="00736FF4"/>
    <w:rsid w:val="00737F37"/>
    <w:rsid w:val="0074163D"/>
    <w:rsid w:val="007428CA"/>
    <w:rsid w:val="007441B5"/>
    <w:rsid w:val="0075184B"/>
    <w:rsid w:val="00761CC1"/>
    <w:rsid w:val="00761E5E"/>
    <w:rsid w:val="00766CD1"/>
    <w:rsid w:val="00767FE9"/>
    <w:rsid w:val="00780767"/>
    <w:rsid w:val="00785746"/>
    <w:rsid w:val="00797D18"/>
    <w:rsid w:val="007A0B5F"/>
    <w:rsid w:val="007A22B7"/>
    <w:rsid w:val="007B6F3A"/>
    <w:rsid w:val="007C3FE4"/>
    <w:rsid w:val="007D066B"/>
    <w:rsid w:val="007D0E89"/>
    <w:rsid w:val="007D4A2E"/>
    <w:rsid w:val="007D6F3B"/>
    <w:rsid w:val="007E5127"/>
    <w:rsid w:val="007F2E46"/>
    <w:rsid w:val="007F76B9"/>
    <w:rsid w:val="00804CB3"/>
    <w:rsid w:val="00806F57"/>
    <w:rsid w:val="0081100E"/>
    <w:rsid w:val="00816CCF"/>
    <w:rsid w:val="00821E0C"/>
    <w:rsid w:val="00824D99"/>
    <w:rsid w:val="0083277B"/>
    <w:rsid w:val="00842C12"/>
    <w:rsid w:val="00854A9C"/>
    <w:rsid w:val="00855564"/>
    <w:rsid w:val="00863E25"/>
    <w:rsid w:val="00863E7F"/>
    <w:rsid w:val="008657FF"/>
    <w:rsid w:val="0088197C"/>
    <w:rsid w:val="008864F8"/>
    <w:rsid w:val="008865CF"/>
    <w:rsid w:val="00890688"/>
    <w:rsid w:val="00892B8A"/>
    <w:rsid w:val="008971CB"/>
    <w:rsid w:val="00897736"/>
    <w:rsid w:val="008A2B9D"/>
    <w:rsid w:val="008B1E7C"/>
    <w:rsid w:val="008B22EC"/>
    <w:rsid w:val="008B3CA1"/>
    <w:rsid w:val="008B7EA0"/>
    <w:rsid w:val="008C7151"/>
    <w:rsid w:val="008F6A77"/>
    <w:rsid w:val="0090037E"/>
    <w:rsid w:val="009055D6"/>
    <w:rsid w:val="00924775"/>
    <w:rsid w:val="00926D61"/>
    <w:rsid w:val="00940C2A"/>
    <w:rsid w:val="00943AD3"/>
    <w:rsid w:val="00951276"/>
    <w:rsid w:val="00957261"/>
    <w:rsid w:val="0095780D"/>
    <w:rsid w:val="00961FBF"/>
    <w:rsid w:val="00980037"/>
    <w:rsid w:val="00985C2B"/>
    <w:rsid w:val="00995C70"/>
    <w:rsid w:val="009A1558"/>
    <w:rsid w:val="009B46F3"/>
    <w:rsid w:val="009C2220"/>
    <w:rsid w:val="009C3296"/>
    <w:rsid w:val="009C5C24"/>
    <w:rsid w:val="009D0049"/>
    <w:rsid w:val="009E46CD"/>
    <w:rsid w:val="009E7542"/>
    <w:rsid w:val="009F4E24"/>
    <w:rsid w:val="00A04B5D"/>
    <w:rsid w:val="00A067E2"/>
    <w:rsid w:val="00A072F2"/>
    <w:rsid w:val="00A10B90"/>
    <w:rsid w:val="00A124E3"/>
    <w:rsid w:val="00A14BDF"/>
    <w:rsid w:val="00A2306B"/>
    <w:rsid w:val="00A30F19"/>
    <w:rsid w:val="00A314F0"/>
    <w:rsid w:val="00A45179"/>
    <w:rsid w:val="00A47822"/>
    <w:rsid w:val="00A517D1"/>
    <w:rsid w:val="00A600F3"/>
    <w:rsid w:val="00A606AF"/>
    <w:rsid w:val="00A626C5"/>
    <w:rsid w:val="00A628A6"/>
    <w:rsid w:val="00A63470"/>
    <w:rsid w:val="00A65970"/>
    <w:rsid w:val="00A66276"/>
    <w:rsid w:val="00A73C90"/>
    <w:rsid w:val="00A86028"/>
    <w:rsid w:val="00A90544"/>
    <w:rsid w:val="00A91674"/>
    <w:rsid w:val="00A97467"/>
    <w:rsid w:val="00AA537A"/>
    <w:rsid w:val="00AA6975"/>
    <w:rsid w:val="00AB40EB"/>
    <w:rsid w:val="00AB4C6B"/>
    <w:rsid w:val="00AC311F"/>
    <w:rsid w:val="00AD005E"/>
    <w:rsid w:val="00AE284F"/>
    <w:rsid w:val="00AE2BA3"/>
    <w:rsid w:val="00AE5C2B"/>
    <w:rsid w:val="00AE60EE"/>
    <w:rsid w:val="00B065C8"/>
    <w:rsid w:val="00B2265D"/>
    <w:rsid w:val="00B23F66"/>
    <w:rsid w:val="00B25AC5"/>
    <w:rsid w:val="00B43F93"/>
    <w:rsid w:val="00B5097B"/>
    <w:rsid w:val="00B7018E"/>
    <w:rsid w:val="00B740F1"/>
    <w:rsid w:val="00B75ADB"/>
    <w:rsid w:val="00B80CB2"/>
    <w:rsid w:val="00B85E73"/>
    <w:rsid w:val="00B86240"/>
    <w:rsid w:val="00B87CAB"/>
    <w:rsid w:val="00B926BA"/>
    <w:rsid w:val="00B942A5"/>
    <w:rsid w:val="00B964A8"/>
    <w:rsid w:val="00BA5D1F"/>
    <w:rsid w:val="00BB1099"/>
    <w:rsid w:val="00BB76D9"/>
    <w:rsid w:val="00BC4053"/>
    <w:rsid w:val="00BD26A4"/>
    <w:rsid w:val="00BD322C"/>
    <w:rsid w:val="00BD3D17"/>
    <w:rsid w:val="00BD525B"/>
    <w:rsid w:val="00BD7ED5"/>
    <w:rsid w:val="00BE5D05"/>
    <w:rsid w:val="00BF294D"/>
    <w:rsid w:val="00BF649F"/>
    <w:rsid w:val="00C0049D"/>
    <w:rsid w:val="00C01519"/>
    <w:rsid w:val="00C041B6"/>
    <w:rsid w:val="00C11899"/>
    <w:rsid w:val="00C13590"/>
    <w:rsid w:val="00C165E9"/>
    <w:rsid w:val="00C23771"/>
    <w:rsid w:val="00C26937"/>
    <w:rsid w:val="00C418F5"/>
    <w:rsid w:val="00C50129"/>
    <w:rsid w:val="00C647E8"/>
    <w:rsid w:val="00C6684F"/>
    <w:rsid w:val="00C80C67"/>
    <w:rsid w:val="00C900E8"/>
    <w:rsid w:val="00C90CEF"/>
    <w:rsid w:val="00C92258"/>
    <w:rsid w:val="00C93FF9"/>
    <w:rsid w:val="00CA3C9C"/>
    <w:rsid w:val="00CB525D"/>
    <w:rsid w:val="00CC0068"/>
    <w:rsid w:val="00CC2692"/>
    <w:rsid w:val="00CD73DA"/>
    <w:rsid w:val="00CF04F6"/>
    <w:rsid w:val="00CF7473"/>
    <w:rsid w:val="00D02001"/>
    <w:rsid w:val="00D13264"/>
    <w:rsid w:val="00D14428"/>
    <w:rsid w:val="00D15475"/>
    <w:rsid w:val="00D1764D"/>
    <w:rsid w:val="00D24389"/>
    <w:rsid w:val="00D311F0"/>
    <w:rsid w:val="00D31E57"/>
    <w:rsid w:val="00D32020"/>
    <w:rsid w:val="00D3440F"/>
    <w:rsid w:val="00D41C92"/>
    <w:rsid w:val="00D54CA5"/>
    <w:rsid w:val="00D65AF3"/>
    <w:rsid w:val="00D669A3"/>
    <w:rsid w:val="00D770CD"/>
    <w:rsid w:val="00D80D42"/>
    <w:rsid w:val="00D82DE3"/>
    <w:rsid w:val="00D92A4C"/>
    <w:rsid w:val="00D954DB"/>
    <w:rsid w:val="00D95A0C"/>
    <w:rsid w:val="00D96450"/>
    <w:rsid w:val="00DA4AC3"/>
    <w:rsid w:val="00DA79A8"/>
    <w:rsid w:val="00DC65AD"/>
    <w:rsid w:val="00DD6DAB"/>
    <w:rsid w:val="00DE0C6A"/>
    <w:rsid w:val="00DE2CDB"/>
    <w:rsid w:val="00DE3ACE"/>
    <w:rsid w:val="00E0290E"/>
    <w:rsid w:val="00E046AD"/>
    <w:rsid w:val="00E07626"/>
    <w:rsid w:val="00E12D12"/>
    <w:rsid w:val="00E17884"/>
    <w:rsid w:val="00E24B6D"/>
    <w:rsid w:val="00E25753"/>
    <w:rsid w:val="00E365EC"/>
    <w:rsid w:val="00E45AA1"/>
    <w:rsid w:val="00E476B5"/>
    <w:rsid w:val="00E47B34"/>
    <w:rsid w:val="00E55436"/>
    <w:rsid w:val="00E6781C"/>
    <w:rsid w:val="00E72AD1"/>
    <w:rsid w:val="00E756CD"/>
    <w:rsid w:val="00E809DE"/>
    <w:rsid w:val="00E83ED2"/>
    <w:rsid w:val="00E954E2"/>
    <w:rsid w:val="00EA293D"/>
    <w:rsid w:val="00EA6482"/>
    <w:rsid w:val="00EA6995"/>
    <w:rsid w:val="00EC3877"/>
    <w:rsid w:val="00EC442B"/>
    <w:rsid w:val="00EC454B"/>
    <w:rsid w:val="00EC45A0"/>
    <w:rsid w:val="00ED3880"/>
    <w:rsid w:val="00ED7DF6"/>
    <w:rsid w:val="00EE1D6E"/>
    <w:rsid w:val="00EE4381"/>
    <w:rsid w:val="00EF3595"/>
    <w:rsid w:val="00EF3599"/>
    <w:rsid w:val="00F05CB3"/>
    <w:rsid w:val="00F143FB"/>
    <w:rsid w:val="00F2047D"/>
    <w:rsid w:val="00F225AC"/>
    <w:rsid w:val="00F2478B"/>
    <w:rsid w:val="00F346DD"/>
    <w:rsid w:val="00F34D31"/>
    <w:rsid w:val="00F36627"/>
    <w:rsid w:val="00F4031A"/>
    <w:rsid w:val="00F45206"/>
    <w:rsid w:val="00F4566A"/>
    <w:rsid w:val="00F522D0"/>
    <w:rsid w:val="00F5267E"/>
    <w:rsid w:val="00F54EAA"/>
    <w:rsid w:val="00F628F6"/>
    <w:rsid w:val="00F663F7"/>
    <w:rsid w:val="00F834E0"/>
    <w:rsid w:val="00F8472E"/>
    <w:rsid w:val="00FA3B7A"/>
    <w:rsid w:val="00FA5010"/>
    <w:rsid w:val="00FA74EA"/>
    <w:rsid w:val="00FB1432"/>
    <w:rsid w:val="00FC1077"/>
    <w:rsid w:val="00FC1C21"/>
    <w:rsid w:val="00FD2D4B"/>
    <w:rsid w:val="00FD4390"/>
    <w:rsid w:val="00FE10C5"/>
    <w:rsid w:val="00FF29B3"/>
    <w:rsid w:val="00FF4078"/>
    <w:rsid w:val="00FF4868"/>
    <w:rsid w:val="00FF6739"/>
    <w:rsid w:val="00FF6CE5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A084"/>
  <w15:chartTrackingRefBased/>
  <w15:docId w15:val="{E975483A-56A7-426D-B576-0D8B87392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2258"/>
  </w:style>
  <w:style w:type="paragraph" w:styleId="a5">
    <w:name w:val="footer"/>
    <w:basedOn w:val="a"/>
    <w:link w:val="a6"/>
    <w:uiPriority w:val="99"/>
    <w:unhideWhenUsed/>
    <w:rsid w:val="00C92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7698</Words>
  <Characters>43881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Skakunova, Maria</dc:creator>
  <cp:keywords/>
  <dc:description/>
  <cp:lastModifiedBy>Александр</cp:lastModifiedBy>
  <cp:revision>2</cp:revision>
  <dcterms:created xsi:type="dcterms:W3CDTF">2023-07-24T12:28:00Z</dcterms:created>
  <dcterms:modified xsi:type="dcterms:W3CDTF">2023-07-24T12:28:00Z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91b42f-c435-42ca-9531-75a3f42aae3d_Enabled">
    <vt:lpwstr>true</vt:lpwstr>
  </property>
  <property fmtid="{D5CDD505-2E9C-101B-9397-08002B2CF9AE}" pid="3" name="MSIP_Label_4791b42f-c435-42ca-9531-75a3f42aae3d_SetDate">
    <vt:lpwstr>2023-07-17T14:49:31Z</vt:lpwstr>
  </property>
  <property fmtid="{D5CDD505-2E9C-101B-9397-08002B2CF9AE}" pid="4" name="MSIP_Label_4791b42f-c435-42ca-9531-75a3f42aae3d_Method">
    <vt:lpwstr>Privileged</vt:lpwstr>
  </property>
  <property fmtid="{D5CDD505-2E9C-101B-9397-08002B2CF9AE}" pid="5" name="MSIP_Label_4791b42f-c435-42ca-9531-75a3f42aae3d_Name">
    <vt:lpwstr>4791b42f-c435-42ca-9531-75a3f42aae3d</vt:lpwstr>
  </property>
  <property fmtid="{D5CDD505-2E9C-101B-9397-08002B2CF9AE}" pid="6" name="MSIP_Label_4791b42f-c435-42ca-9531-75a3f42aae3d_SiteId">
    <vt:lpwstr>7a916015-20ae-4ad1-9170-eefd915e9272</vt:lpwstr>
  </property>
  <property fmtid="{D5CDD505-2E9C-101B-9397-08002B2CF9AE}" pid="7" name="MSIP_Label_4791b42f-c435-42ca-9531-75a3f42aae3d_ActionId">
    <vt:lpwstr>e5954e85-40a1-4796-b5cb-2d8ead90e796</vt:lpwstr>
  </property>
  <property fmtid="{D5CDD505-2E9C-101B-9397-08002B2CF9AE}" pid="8" name="MSIP_Label_4791b42f-c435-42ca-9531-75a3f42aae3d_ContentBits">
    <vt:lpwstr>0</vt:lpwstr>
  </property>
</Properties>
</file>